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2016"/>
      </w:tblGrid>
      <w:tr w:rsidR="00DA24AF" w:rsidRPr="00F36E99" w:rsidTr="00804733">
        <w:tc>
          <w:tcPr>
            <w:tcW w:w="1668" w:type="dxa"/>
          </w:tcPr>
          <w:p w:rsidR="00DA24AF" w:rsidRPr="00F36E99" w:rsidRDefault="00DA24AF" w:rsidP="0080473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MX"/>
              </w:rPr>
              <w:t>Adrián</w:t>
            </w:r>
            <w:r w:rsidRPr="00F36E99">
              <w:rPr>
                <w:rFonts w:ascii="Arial Narrow" w:hAnsi="Arial Narrow"/>
                <w:bCs/>
                <w:lang w:val="es-MX"/>
              </w:rPr>
              <w:t xml:space="preserve"> Alcalá Méndez</w:t>
            </w:r>
          </w:p>
        </w:tc>
        <w:tc>
          <w:tcPr>
            <w:tcW w:w="5244" w:type="dxa"/>
          </w:tcPr>
          <w:p w:rsidR="00DA24AF" w:rsidRPr="00DA24AF" w:rsidRDefault="00DA24AF" w:rsidP="00804733">
            <w:pPr>
              <w:jc w:val="center"/>
              <w:rPr>
                <w:rFonts w:ascii="Arial Narrow" w:hAnsi="Arial Narrow"/>
                <w:color w:val="000000" w:themeColor="text1"/>
                <w:lang w:val="es-ES"/>
              </w:rPr>
            </w:pPr>
            <w:r w:rsidRPr="00DA24AF">
              <w:rPr>
                <w:rFonts w:ascii="Arial Narrow" w:hAnsi="Arial Narrow"/>
                <w:color w:val="000000" w:themeColor="text1"/>
                <w:lang w:val="es-ES"/>
              </w:rPr>
              <w:t>Consejero Presidente del Instituto de Transparencia y Acceso a la Información Pública del Estado de Baja California</w:t>
            </w:r>
          </w:p>
        </w:tc>
        <w:tc>
          <w:tcPr>
            <w:tcW w:w="2016" w:type="dxa"/>
            <w:vAlign w:val="center"/>
          </w:tcPr>
          <w:p w:rsidR="00DA24AF" w:rsidRPr="00F36E99" w:rsidRDefault="00DA24AF" w:rsidP="00DA24AF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Subtema</w:t>
            </w:r>
            <w:proofErr w:type="spellEnd"/>
            <w:r>
              <w:rPr>
                <w:rFonts w:ascii="Arial Narrow" w:hAnsi="Arial Narrow"/>
                <w:bCs/>
              </w:rPr>
              <w:t xml:space="preserve"> B1, </w:t>
            </w:r>
          </w:p>
        </w:tc>
      </w:tr>
    </w:tbl>
    <w:p w:rsidR="00DA24AF" w:rsidRDefault="00DA24AF" w:rsidP="00F7353D">
      <w:pPr>
        <w:pStyle w:val="Body1"/>
        <w:ind w:left="360"/>
        <w:jc w:val="both"/>
        <w:rPr>
          <w:rFonts w:ascii="Arial" w:hAnsi="Arial Unicode MS"/>
          <w:b/>
          <w:sz w:val="24"/>
        </w:rPr>
      </w:pP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b/>
          <w:sz w:val="24"/>
        </w:rPr>
        <w:t>MESA 2: CARACTER</w:t>
      </w:r>
      <w:r>
        <w:rPr>
          <w:rFonts w:ascii="Arial" w:hAnsi="Arial Unicode MS"/>
          <w:b/>
          <w:sz w:val="24"/>
        </w:rPr>
        <w:t>Í</w:t>
      </w:r>
      <w:r>
        <w:rPr>
          <w:rFonts w:ascii="Arial" w:hAnsi="Arial Unicode MS"/>
          <w:b/>
          <w:sz w:val="24"/>
        </w:rPr>
        <w:t>STICAS DESEABLES DE LA LEY GENERAL DE TRANSPARENCIA E INFORMACI</w:t>
      </w:r>
      <w:r>
        <w:rPr>
          <w:rFonts w:ascii="Arial" w:hAnsi="Arial Unicode MS"/>
          <w:b/>
          <w:sz w:val="24"/>
        </w:rPr>
        <w:t>Ó</w:t>
      </w:r>
      <w:r>
        <w:rPr>
          <w:rFonts w:ascii="Arial" w:hAnsi="Arial Unicode MS"/>
          <w:b/>
          <w:sz w:val="24"/>
        </w:rPr>
        <w:t>N P</w:t>
      </w:r>
      <w:r>
        <w:rPr>
          <w:rFonts w:ascii="Arial" w:hAnsi="Arial Unicode MS"/>
          <w:b/>
          <w:sz w:val="24"/>
        </w:rPr>
        <w:t>Ú</w:t>
      </w:r>
      <w:r>
        <w:rPr>
          <w:rFonts w:ascii="Arial" w:hAnsi="Arial Unicode MS"/>
          <w:b/>
          <w:sz w:val="24"/>
        </w:rPr>
        <w:t>BLICA Y DE PROTECCI</w:t>
      </w:r>
      <w:r>
        <w:rPr>
          <w:rFonts w:ascii="Arial" w:hAnsi="Arial Unicode MS"/>
          <w:b/>
          <w:sz w:val="24"/>
        </w:rPr>
        <w:t>Ó</w:t>
      </w:r>
      <w:r>
        <w:rPr>
          <w:rFonts w:ascii="Arial" w:hAnsi="Arial Unicode MS"/>
          <w:b/>
          <w:sz w:val="24"/>
        </w:rPr>
        <w:t>N DE DATOS PERSONALES EN POSESI</w:t>
      </w:r>
      <w:r>
        <w:rPr>
          <w:rFonts w:ascii="Arial" w:hAnsi="Arial Unicode MS"/>
          <w:b/>
          <w:sz w:val="24"/>
        </w:rPr>
        <w:t>Ó</w:t>
      </w:r>
      <w:r>
        <w:rPr>
          <w:rFonts w:ascii="Arial" w:hAnsi="Arial Unicode MS"/>
          <w:b/>
          <w:sz w:val="24"/>
        </w:rPr>
        <w:t>N DEL SECTOR P</w:t>
      </w:r>
      <w:r>
        <w:rPr>
          <w:rFonts w:ascii="Arial" w:hAnsi="Arial Unicode MS"/>
          <w:b/>
          <w:sz w:val="24"/>
        </w:rPr>
        <w:t>Ú</w:t>
      </w:r>
      <w:r>
        <w:rPr>
          <w:rFonts w:ascii="Arial" w:hAnsi="Arial Unicode MS"/>
          <w:b/>
          <w:sz w:val="24"/>
        </w:rPr>
        <w:t>BLICO MEXICANO Y SU IMPACTO COMO MECANISMOS ANTICORRUPCI</w:t>
      </w:r>
      <w:r>
        <w:rPr>
          <w:rFonts w:ascii="Arial" w:hAnsi="Arial Unicode MS"/>
          <w:b/>
          <w:sz w:val="24"/>
        </w:rPr>
        <w:t>Ó</w:t>
      </w:r>
      <w:r>
        <w:rPr>
          <w:rFonts w:ascii="Arial" w:hAnsi="Arial Unicode MS"/>
          <w:b/>
          <w:sz w:val="24"/>
        </w:rPr>
        <w:t>N.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B.1. Implicaciones respecto del cat</w:t>
      </w:r>
      <w:r>
        <w:rPr>
          <w:rFonts w:ascii="Arial" w:hAnsi="Arial Unicode MS"/>
          <w:b/>
          <w:sz w:val="24"/>
        </w:rPr>
        <w:t>á</w:t>
      </w:r>
      <w:r>
        <w:rPr>
          <w:rFonts w:ascii="Arial" w:hAnsi="Arial Unicode MS"/>
          <w:b/>
          <w:sz w:val="24"/>
        </w:rPr>
        <w:t>logo de sujetos obligados y sus obligaciones.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Actualmente, la Constituci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establece como sujetos obligados del derecho de acceso a la informaci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p</w:t>
      </w:r>
      <w:r>
        <w:rPr>
          <w:rFonts w:ascii="Arial" w:hAnsi="Arial Unicode MS"/>
          <w:sz w:val="24"/>
        </w:rPr>
        <w:t>ú</w:t>
      </w:r>
      <w:r>
        <w:rPr>
          <w:rFonts w:ascii="Arial" w:hAnsi="Arial Unicode MS"/>
          <w:sz w:val="24"/>
        </w:rPr>
        <w:t xml:space="preserve">blica a cualquier autoridad, entidad, 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 xml:space="preserve">rgano u organismos federal, estatal o municipal. 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No obstante que la intenci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 xml:space="preserve">n del legislador era asegurar que todos los 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rganos del Estado estuvieran incluidos, sin importar su denominaci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o naturaleza jur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dica, en la pr</w:t>
      </w:r>
      <w:r>
        <w:rPr>
          <w:rFonts w:ascii="Arial" w:hAnsi="Arial Unicode MS"/>
          <w:sz w:val="24"/>
        </w:rPr>
        <w:t>á</w:t>
      </w:r>
      <w:r>
        <w:rPr>
          <w:rFonts w:ascii="Arial" w:hAnsi="Arial Unicode MS"/>
          <w:sz w:val="24"/>
        </w:rPr>
        <w:t xml:space="preserve">ctica nos hemos dado cuenta que el alcance de </w:t>
      </w:r>
      <w:r>
        <w:rPr>
          <w:rFonts w:ascii="Arial" w:hAnsi="Arial Unicode MS"/>
          <w:sz w:val="24"/>
        </w:rPr>
        <w:t>é</w:t>
      </w:r>
      <w:r>
        <w:rPr>
          <w:rFonts w:ascii="Arial" w:hAnsi="Arial Unicode MS"/>
          <w:sz w:val="24"/>
        </w:rPr>
        <w:t>sta definici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en ocasiones no es suficiente y en otras lo sobrepasa.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Por ejemplo en el primer caso, existen personas que si bien es cierto no son autoridades, si son de inter</w:t>
      </w:r>
      <w:r>
        <w:rPr>
          <w:rFonts w:ascii="Arial" w:hAnsi="Arial Unicode MS"/>
          <w:sz w:val="24"/>
        </w:rPr>
        <w:t>é</w:t>
      </w:r>
      <w:r>
        <w:rPr>
          <w:rFonts w:ascii="Arial" w:hAnsi="Arial Unicode MS"/>
          <w:sz w:val="24"/>
        </w:rPr>
        <w:t>s p</w:t>
      </w:r>
      <w:r>
        <w:rPr>
          <w:rFonts w:ascii="Arial" w:hAnsi="Arial Unicode MS"/>
          <w:sz w:val="24"/>
        </w:rPr>
        <w:t>ú</w:t>
      </w:r>
      <w:r>
        <w:rPr>
          <w:rFonts w:ascii="Arial" w:hAnsi="Arial Unicode MS"/>
          <w:sz w:val="24"/>
        </w:rPr>
        <w:t>blico como los partidos pol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ticos o como en el segundo caso, existen personas que reciben recursos p</w:t>
      </w:r>
      <w:r>
        <w:rPr>
          <w:rFonts w:ascii="Arial" w:hAnsi="Arial Unicode MS"/>
          <w:sz w:val="24"/>
        </w:rPr>
        <w:t>ú</w:t>
      </w:r>
      <w:r>
        <w:rPr>
          <w:rFonts w:ascii="Arial" w:hAnsi="Arial Unicode MS"/>
          <w:sz w:val="24"/>
        </w:rPr>
        <w:t>blicos pero que su actividad no necesariamente conlleva ese car</w:t>
      </w:r>
      <w:r>
        <w:rPr>
          <w:rFonts w:ascii="Arial" w:hAnsi="Arial Unicode MS"/>
          <w:sz w:val="24"/>
        </w:rPr>
        <w:t>á</w:t>
      </w:r>
      <w:r>
        <w:rPr>
          <w:rFonts w:ascii="Arial" w:hAnsi="Arial Unicode MS"/>
          <w:sz w:val="24"/>
        </w:rPr>
        <w:t>cter y por lo tanto no pueden considerarse como sujetos obligados, sindicatos, beneficiarios de programas sociales.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Lo que s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 xml:space="preserve"> puede definirse, es el hecho de que la obligaci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de rendir cuentas respecto de la entrega de recursos p</w:t>
      </w:r>
      <w:r>
        <w:rPr>
          <w:rFonts w:ascii="Arial" w:hAnsi="Arial Unicode MS"/>
          <w:sz w:val="24"/>
        </w:rPr>
        <w:t>ú</w:t>
      </w:r>
      <w:r>
        <w:rPr>
          <w:rFonts w:ascii="Arial" w:hAnsi="Arial Unicode MS"/>
          <w:sz w:val="24"/>
        </w:rPr>
        <w:t xml:space="preserve">blicos corresponde a la autoridad que los otorga. 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Si tomamos en cuenta el alcance del concepto aceptado por la jurisprudencia mexicana, estar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 xml:space="preserve">amos en lo correcto al decir que autoridad es aquella que es </w:t>
      </w:r>
      <w:r>
        <w:rPr>
          <w:rFonts w:ascii="Arial" w:hAnsi="Arial Unicode MS"/>
          <w:sz w:val="24"/>
        </w:rPr>
        <w:lastRenderedPageBreak/>
        <w:t>capaz de realizar actos coercitivos, es decir, actos que suponen el uso real o potencial de la fuerza y que, por ello, afectan la esfera de libertad de acci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de una persona, lo que aumenta exponencialmente el universo de los sujetos obligados para incluir dentro de los mismos a personas de derecho privado que realizan funciones p</w:t>
      </w:r>
      <w:r>
        <w:rPr>
          <w:rFonts w:ascii="Arial" w:hAnsi="Arial Unicode MS"/>
          <w:sz w:val="24"/>
        </w:rPr>
        <w:t>ú</w:t>
      </w:r>
      <w:r>
        <w:rPr>
          <w:rFonts w:ascii="Arial" w:hAnsi="Arial Unicode MS"/>
          <w:sz w:val="24"/>
        </w:rPr>
        <w:t>blicas.</w:t>
      </w:r>
    </w:p>
    <w:p w:rsidR="00F7353D" w:rsidRDefault="00F7353D" w:rsidP="00F7353D">
      <w:pPr>
        <w:pStyle w:val="Body1"/>
        <w:ind w:left="360"/>
        <w:jc w:val="both"/>
        <w:rPr>
          <w:rFonts w:ascii="Arial" w:hAnsi="Arial Unicode MS"/>
          <w:sz w:val="24"/>
        </w:rPr>
      </w:pPr>
      <w:r>
        <w:rPr>
          <w:rFonts w:ascii="Arial" w:hAnsi="Arial Unicode MS"/>
          <w:sz w:val="24"/>
        </w:rPr>
        <w:t>En ese sentido apoyo el proyecto en donde se incluyan a estas personas a las que hago referencia como sujetos obligados, ya que mediante la determinaci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clara y precisa de quienes se encuentran sujetos a la ley, se elimina la duda respecto de las obligaciones que deben cumplir.</w:t>
      </w: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p w:rsidR="00DA24AF" w:rsidRDefault="00DA24AF" w:rsidP="00F7353D">
      <w:pPr>
        <w:pStyle w:val="Body1"/>
        <w:ind w:left="360"/>
        <w:jc w:val="both"/>
        <w:rPr>
          <w:rFonts w:ascii="Arial" w:hAnsi="Arial Unicode MS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2016"/>
      </w:tblGrid>
      <w:tr w:rsidR="00DA24AF" w:rsidRPr="00F36E99" w:rsidTr="00804733">
        <w:tc>
          <w:tcPr>
            <w:tcW w:w="1668" w:type="dxa"/>
          </w:tcPr>
          <w:p w:rsidR="00DA24AF" w:rsidRPr="00F36E99" w:rsidRDefault="00DA24AF" w:rsidP="0080473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MX"/>
              </w:rPr>
              <w:lastRenderedPageBreak/>
              <w:t>Adrián</w:t>
            </w:r>
            <w:r w:rsidRPr="00F36E99">
              <w:rPr>
                <w:rFonts w:ascii="Arial Narrow" w:hAnsi="Arial Narrow"/>
                <w:bCs/>
                <w:lang w:val="es-MX"/>
              </w:rPr>
              <w:t xml:space="preserve"> Alcalá Méndez</w:t>
            </w:r>
          </w:p>
        </w:tc>
        <w:tc>
          <w:tcPr>
            <w:tcW w:w="5244" w:type="dxa"/>
          </w:tcPr>
          <w:p w:rsidR="00DA24AF" w:rsidRPr="00DA24AF" w:rsidRDefault="00DA24AF" w:rsidP="00804733">
            <w:pPr>
              <w:jc w:val="center"/>
              <w:rPr>
                <w:rFonts w:ascii="Arial Narrow" w:hAnsi="Arial Narrow"/>
                <w:color w:val="000000" w:themeColor="text1"/>
                <w:lang w:val="es-ES"/>
              </w:rPr>
            </w:pPr>
            <w:r w:rsidRPr="00DA24AF">
              <w:rPr>
                <w:rFonts w:ascii="Arial Narrow" w:hAnsi="Arial Narrow"/>
                <w:color w:val="000000" w:themeColor="text1"/>
                <w:lang w:val="es-ES"/>
              </w:rPr>
              <w:t>Consejero Presidente del Instituto de Transparencia y Acceso a la Información Pública del Estado de Baja California</w:t>
            </w:r>
          </w:p>
        </w:tc>
        <w:tc>
          <w:tcPr>
            <w:tcW w:w="2016" w:type="dxa"/>
            <w:vAlign w:val="center"/>
          </w:tcPr>
          <w:p w:rsidR="00DA24AF" w:rsidRPr="00F36E99" w:rsidRDefault="00DA24AF" w:rsidP="00DA24AF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Subtema</w:t>
            </w:r>
            <w:bookmarkStart w:id="0" w:name="_GoBack"/>
            <w:bookmarkEnd w:id="0"/>
            <w:proofErr w:type="spellEnd"/>
            <w:r>
              <w:rPr>
                <w:rFonts w:ascii="Arial Narrow" w:hAnsi="Arial Narrow"/>
                <w:bCs/>
              </w:rPr>
              <w:t xml:space="preserve"> B</w:t>
            </w:r>
            <w:r>
              <w:rPr>
                <w:rFonts w:ascii="Arial Narrow" w:hAnsi="Arial Narrow"/>
                <w:bCs/>
              </w:rPr>
              <w:t>2</w:t>
            </w:r>
            <w:r w:rsidRPr="00F36E99">
              <w:rPr>
                <w:rFonts w:ascii="Arial Narrow" w:hAnsi="Arial Narrow"/>
                <w:bCs/>
              </w:rPr>
              <w:t>.</w:t>
            </w:r>
          </w:p>
        </w:tc>
      </w:tr>
    </w:tbl>
    <w:p w:rsidR="00DA24AF" w:rsidRDefault="00DA24AF" w:rsidP="00F7353D">
      <w:pPr>
        <w:pStyle w:val="Body1"/>
        <w:ind w:left="360"/>
        <w:jc w:val="both"/>
        <w:rPr>
          <w:rFonts w:ascii="Arial" w:hAnsi="Arial"/>
          <w:sz w:val="24"/>
        </w:rPr>
      </w:pPr>
    </w:p>
    <w:p w:rsidR="00F7353D" w:rsidRDefault="00F7353D" w:rsidP="00F7353D">
      <w:pPr>
        <w:pStyle w:val="Body1"/>
        <w:ind w:left="360"/>
        <w:jc w:val="both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B.2. Uniformidad en los criterios de la informaci</w:t>
      </w:r>
      <w:r>
        <w:rPr>
          <w:rFonts w:ascii="Arial" w:hAnsi="Arial Unicode MS"/>
          <w:b/>
          <w:sz w:val="24"/>
        </w:rPr>
        <w:t>ó</w:t>
      </w:r>
      <w:r>
        <w:rPr>
          <w:rFonts w:ascii="Arial" w:hAnsi="Arial Unicode MS"/>
          <w:b/>
          <w:sz w:val="24"/>
        </w:rPr>
        <w:t>n p</w:t>
      </w:r>
      <w:r>
        <w:rPr>
          <w:rFonts w:ascii="Arial" w:hAnsi="Arial Unicode MS"/>
          <w:b/>
          <w:sz w:val="24"/>
        </w:rPr>
        <w:t>ú</w:t>
      </w:r>
      <w:r>
        <w:rPr>
          <w:rFonts w:ascii="Arial" w:hAnsi="Arial Unicode MS"/>
          <w:b/>
          <w:sz w:val="24"/>
        </w:rPr>
        <w:t>blica de oficio.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Como bien lo he venido mencionando, uno de los principales problemas que ha enfrentado el derecho de acceso a la informaci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p</w:t>
      </w:r>
      <w:r>
        <w:rPr>
          <w:rFonts w:ascii="Arial" w:hAnsi="Arial Unicode MS"/>
          <w:sz w:val="24"/>
        </w:rPr>
        <w:t>ú</w:t>
      </w:r>
      <w:r>
        <w:rPr>
          <w:rFonts w:ascii="Arial" w:hAnsi="Arial Unicode MS"/>
          <w:sz w:val="24"/>
        </w:rPr>
        <w:t>blica ha sido la heterogeneidad en los criterios; se suma a la lista aquel que define a la Informaci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P</w:t>
      </w:r>
      <w:r>
        <w:rPr>
          <w:rFonts w:ascii="Arial" w:hAnsi="Arial Unicode MS"/>
          <w:sz w:val="24"/>
        </w:rPr>
        <w:t>ú</w:t>
      </w:r>
      <w:r>
        <w:rPr>
          <w:rFonts w:ascii="Arial" w:hAnsi="Arial Unicode MS"/>
          <w:sz w:val="24"/>
        </w:rPr>
        <w:t xml:space="preserve">blica de oficio. No cabe duda que el grado de detalle y el cumplimiento de </w:t>
      </w:r>
      <w:r>
        <w:rPr>
          <w:rFonts w:ascii="Arial" w:hAnsi="Arial Unicode MS"/>
          <w:sz w:val="24"/>
        </w:rPr>
        <w:t>é</w:t>
      </w:r>
      <w:r>
        <w:rPr>
          <w:rFonts w:ascii="Arial" w:hAnsi="Arial Unicode MS"/>
          <w:sz w:val="24"/>
        </w:rPr>
        <w:t>sta obligaci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var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a de entidad en entidad.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Si bien es cierto existen obligaciones que se encuentran presentes en todas las leyes del pa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s, tambi</w:t>
      </w:r>
      <w:r>
        <w:rPr>
          <w:rFonts w:ascii="Arial" w:hAnsi="Arial Unicode MS"/>
          <w:sz w:val="24"/>
        </w:rPr>
        <w:t>é</w:t>
      </w:r>
      <w:r>
        <w:rPr>
          <w:rFonts w:ascii="Arial" w:hAnsi="Arial Unicode MS"/>
          <w:sz w:val="24"/>
        </w:rPr>
        <w:t xml:space="preserve">n lo es que algunas Entidades Federativas realizaron un esfuerzo adicional para incorporar a </w:t>
      </w:r>
      <w:r>
        <w:rPr>
          <w:rFonts w:ascii="Arial" w:hAnsi="Arial Unicode MS"/>
          <w:sz w:val="24"/>
        </w:rPr>
        <w:t>é</w:t>
      </w:r>
      <w:r>
        <w:rPr>
          <w:rFonts w:ascii="Arial" w:hAnsi="Arial Unicode MS"/>
          <w:sz w:val="24"/>
        </w:rPr>
        <w:t>ste cat</w:t>
      </w:r>
      <w:r>
        <w:rPr>
          <w:rFonts w:ascii="Arial" w:hAnsi="Arial Unicode MS"/>
          <w:sz w:val="24"/>
        </w:rPr>
        <w:t>á</w:t>
      </w:r>
      <w:r>
        <w:rPr>
          <w:rFonts w:ascii="Arial" w:hAnsi="Arial Unicode MS"/>
          <w:sz w:val="24"/>
        </w:rPr>
        <w:t xml:space="preserve">logo, obligaciones </w:t>
      </w:r>
      <w:proofErr w:type="spellStart"/>
      <w:r>
        <w:rPr>
          <w:rFonts w:ascii="Arial" w:hAnsi="Arial Unicode MS"/>
          <w:sz w:val="24"/>
        </w:rPr>
        <w:t>especificas</w:t>
      </w:r>
      <w:proofErr w:type="spellEnd"/>
      <w:r>
        <w:rPr>
          <w:rFonts w:ascii="Arial" w:hAnsi="Arial Unicode MS"/>
          <w:sz w:val="24"/>
        </w:rPr>
        <w:t xml:space="preserve"> para ciertos Sujetos Obligados.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Sin embargo, estas variaciones no necesariamente resultan en un beneficio. Muchas veces el exceso de informaci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deriva en una falta de calidad en la misma.</w:t>
      </w:r>
    </w:p>
    <w:p w:rsidR="00F7353D" w:rsidRDefault="00F7353D" w:rsidP="00F7353D">
      <w:pPr>
        <w:pStyle w:val="Body1"/>
        <w:ind w:left="360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En ese sentido, es indispensable que se homogeneicen los criterios y que la Ley General de Transparencia y Acceso a la informaci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que se promulgue, establezca las bases m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nimas para asegurar no solo que los sujetos obligados publiquen la mayor cantidad de informaci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posible para cumplir con sus obligaciones en materia de rendici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 xml:space="preserve">n de cuentas, sino que al hacerlo, cumplan con requisitos de calidad preestablecidos. </w:t>
      </w:r>
    </w:p>
    <w:p w:rsidR="00167C9C" w:rsidRPr="00F7353D" w:rsidRDefault="00DA24AF">
      <w:pPr>
        <w:rPr>
          <w:lang w:val="es-ES"/>
        </w:rPr>
      </w:pPr>
    </w:p>
    <w:sectPr w:rsidR="00167C9C" w:rsidRPr="00F7353D"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D"/>
    <w:rsid w:val="004F3FD8"/>
    <w:rsid w:val="00AC47E0"/>
    <w:rsid w:val="00DA24AF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7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F7353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  <w:style w:type="paragraph" w:customStyle="1" w:styleId="List0">
    <w:name w:val="List 0"/>
    <w:basedOn w:val="Normal"/>
    <w:autoRedefine/>
    <w:semiHidden/>
    <w:rsid w:val="00F7353D"/>
    <w:pPr>
      <w:numPr>
        <w:numId w:val="1"/>
      </w:numPr>
    </w:pPr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7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F7353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  <w:style w:type="paragraph" w:customStyle="1" w:styleId="List0">
    <w:name w:val="List 0"/>
    <w:basedOn w:val="Normal"/>
    <w:autoRedefine/>
    <w:semiHidden/>
    <w:rsid w:val="00F7353D"/>
    <w:pPr>
      <w:numPr>
        <w:numId w:val="1"/>
      </w:numPr>
    </w:pPr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2013-04-30T21:48:00Z</cp:lastPrinted>
  <dcterms:created xsi:type="dcterms:W3CDTF">2013-04-29T21:50:00Z</dcterms:created>
  <dcterms:modified xsi:type="dcterms:W3CDTF">2013-04-30T21:49:00Z</dcterms:modified>
</cp:coreProperties>
</file>