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947" w:rsidRDefault="00241947" w:rsidP="00241947">
      <w:pPr>
        <w:shd w:val="clear" w:color="auto" w:fill="FFFFFF"/>
        <w:spacing w:before="100" w:beforeAutospacing="1" w:after="100" w:afterAutospacing="1" w:line="240" w:lineRule="auto"/>
        <w:jc w:val="center"/>
        <w:rPr>
          <w:rFonts w:ascii="Arial" w:eastAsia="Times New Roman" w:hAnsi="Arial" w:cs="Arial"/>
          <w:b/>
          <w:color w:val="121213"/>
          <w:sz w:val="24"/>
          <w:szCs w:val="24"/>
          <w:u w:val="single"/>
          <w:shd w:val="clear" w:color="auto" w:fill="FFFFFF"/>
          <w:lang w:eastAsia="es-MX"/>
        </w:rPr>
      </w:pPr>
    </w:p>
    <w:p w:rsidR="00241947" w:rsidRDefault="00241947" w:rsidP="00241947">
      <w:pPr>
        <w:shd w:val="clear" w:color="auto" w:fill="FFFFFF"/>
        <w:spacing w:before="100" w:beforeAutospacing="1" w:after="100" w:afterAutospacing="1" w:line="240" w:lineRule="auto"/>
        <w:jc w:val="center"/>
        <w:rPr>
          <w:rFonts w:ascii="Arial" w:eastAsia="Times New Roman" w:hAnsi="Arial" w:cs="Arial"/>
          <w:b/>
          <w:color w:val="121213"/>
          <w:sz w:val="24"/>
          <w:szCs w:val="24"/>
          <w:u w:val="single"/>
          <w:shd w:val="clear" w:color="auto" w:fill="FFFFFF"/>
          <w:lang w:eastAsia="es-MX"/>
        </w:rPr>
      </w:pPr>
    </w:p>
    <w:p w:rsidR="00241947" w:rsidRDefault="00241947" w:rsidP="00241947">
      <w:pPr>
        <w:shd w:val="clear" w:color="auto" w:fill="FFFFFF"/>
        <w:spacing w:before="100" w:beforeAutospacing="1" w:after="100" w:afterAutospacing="1" w:line="240" w:lineRule="auto"/>
        <w:jc w:val="center"/>
        <w:rPr>
          <w:rFonts w:ascii="Arial" w:eastAsia="Times New Roman" w:hAnsi="Arial" w:cs="Arial"/>
          <w:b/>
          <w:color w:val="121213"/>
          <w:sz w:val="24"/>
          <w:szCs w:val="24"/>
          <w:u w:val="single"/>
          <w:shd w:val="clear" w:color="auto" w:fill="FFFFFF"/>
          <w:lang w:eastAsia="es-MX"/>
        </w:rPr>
      </w:pPr>
    </w:p>
    <w:p w:rsidR="00241947" w:rsidRDefault="00241947" w:rsidP="00241947">
      <w:pPr>
        <w:shd w:val="clear" w:color="auto" w:fill="FFFFFF"/>
        <w:spacing w:before="100" w:beforeAutospacing="1" w:after="100" w:afterAutospacing="1" w:line="240" w:lineRule="auto"/>
        <w:jc w:val="center"/>
        <w:rPr>
          <w:rFonts w:ascii="Arial" w:eastAsia="Times New Roman" w:hAnsi="Arial" w:cs="Arial"/>
          <w:b/>
          <w:color w:val="121213"/>
          <w:sz w:val="24"/>
          <w:szCs w:val="24"/>
          <w:u w:val="single"/>
          <w:shd w:val="clear" w:color="auto" w:fill="FFFFFF"/>
          <w:lang w:eastAsia="es-MX"/>
        </w:rPr>
      </w:pPr>
    </w:p>
    <w:p w:rsidR="00241947" w:rsidRDefault="00241947" w:rsidP="00241947">
      <w:pPr>
        <w:shd w:val="clear" w:color="auto" w:fill="FFFFFF"/>
        <w:spacing w:before="100" w:beforeAutospacing="1" w:after="100" w:afterAutospacing="1" w:line="240" w:lineRule="auto"/>
        <w:jc w:val="center"/>
        <w:rPr>
          <w:rFonts w:ascii="Arial" w:eastAsia="Times New Roman" w:hAnsi="Arial" w:cs="Arial"/>
          <w:b/>
          <w:color w:val="121213"/>
          <w:sz w:val="24"/>
          <w:szCs w:val="24"/>
          <w:u w:val="single"/>
          <w:shd w:val="clear" w:color="auto" w:fill="FFFFFF"/>
          <w:lang w:eastAsia="es-MX"/>
        </w:rPr>
      </w:pPr>
    </w:p>
    <w:p w:rsidR="00241947" w:rsidRDefault="00241947" w:rsidP="00241947">
      <w:pPr>
        <w:shd w:val="clear" w:color="auto" w:fill="FFFFFF"/>
        <w:spacing w:before="100" w:beforeAutospacing="1" w:after="100" w:afterAutospacing="1" w:line="240" w:lineRule="auto"/>
        <w:jc w:val="center"/>
        <w:rPr>
          <w:rFonts w:ascii="Arial" w:eastAsia="Times New Roman" w:hAnsi="Arial" w:cs="Arial"/>
          <w:b/>
          <w:color w:val="121213"/>
          <w:sz w:val="24"/>
          <w:szCs w:val="24"/>
          <w:u w:val="single"/>
          <w:shd w:val="clear" w:color="auto" w:fill="FFFFFF"/>
          <w:lang w:eastAsia="es-MX"/>
        </w:rPr>
      </w:pPr>
      <w:r>
        <w:rPr>
          <w:rFonts w:ascii="Arial" w:eastAsia="Times New Roman" w:hAnsi="Arial" w:cs="Arial"/>
          <w:b/>
          <w:color w:val="121213"/>
          <w:sz w:val="24"/>
          <w:szCs w:val="24"/>
          <w:u w:val="single"/>
          <w:shd w:val="clear" w:color="auto" w:fill="FFFFFF"/>
          <w:lang w:eastAsia="es-MX"/>
        </w:rPr>
        <w:t>Séptimo Foro Nacional de Análisis</w:t>
      </w:r>
    </w:p>
    <w:p w:rsidR="006A6C33" w:rsidRDefault="00241947" w:rsidP="00241947">
      <w:pPr>
        <w:shd w:val="clear" w:color="auto" w:fill="FFFFFF"/>
        <w:spacing w:before="100" w:beforeAutospacing="1" w:after="100" w:afterAutospacing="1" w:line="240" w:lineRule="auto"/>
        <w:jc w:val="center"/>
        <w:rPr>
          <w:rFonts w:ascii="Arial" w:eastAsia="Times New Roman" w:hAnsi="Arial" w:cs="Arial"/>
          <w:b/>
          <w:color w:val="121213"/>
          <w:sz w:val="24"/>
          <w:szCs w:val="24"/>
          <w:u w:val="single"/>
          <w:shd w:val="clear" w:color="auto" w:fill="FFFFFF"/>
          <w:lang w:eastAsia="es-MX"/>
        </w:rPr>
      </w:pPr>
      <w:r>
        <w:rPr>
          <w:rFonts w:ascii="Arial" w:eastAsia="Times New Roman" w:hAnsi="Arial" w:cs="Arial"/>
          <w:b/>
          <w:color w:val="121213"/>
          <w:sz w:val="24"/>
          <w:szCs w:val="24"/>
          <w:u w:val="single"/>
          <w:shd w:val="clear" w:color="auto" w:fill="FFFFFF"/>
          <w:lang w:eastAsia="es-MX"/>
        </w:rPr>
        <w:t>Mesa: 2</w:t>
      </w:r>
    </w:p>
    <w:p w:rsidR="006A6C33" w:rsidRDefault="006A6C33" w:rsidP="00241947">
      <w:pPr>
        <w:shd w:val="clear" w:color="auto" w:fill="FFFFFF"/>
        <w:spacing w:before="100" w:beforeAutospacing="1" w:after="100" w:afterAutospacing="1" w:line="240" w:lineRule="auto"/>
        <w:jc w:val="center"/>
        <w:rPr>
          <w:rFonts w:ascii="Arial" w:eastAsia="Times New Roman" w:hAnsi="Arial" w:cs="Arial"/>
          <w:b/>
          <w:color w:val="121213"/>
          <w:sz w:val="24"/>
          <w:szCs w:val="24"/>
          <w:u w:val="single"/>
          <w:shd w:val="clear" w:color="auto" w:fill="FFFFFF"/>
          <w:lang w:eastAsia="es-MX"/>
        </w:rPr>
      </w:pPr>
      <w:r>
        <w:rPr>
          <w:rFonts w:ascii="Arial" w:eastAsia="Times New Roman" w:hAnsi="Arial" w:cs="Arial"/>
          <w:b/>
          <w:color w:val="121213"/>
          <w:sz w:val="24"/>
          <w:szCs w:val="24"/>
          <w:u w:val="single"/>
          <w:shd w:val="clear" w:color="auto" w:fill="FFFFFF"/>
          <w:lang w:eastAsia="es-MX"/>
        </w:rPr>
        <w:t>Subtema</w:t>
      </w:r>
      <w:r w:rsidR="00241947">
        <w:rPr>
          <w:rFonts w:ascii="Arial" w:eastAsia="Times New Roman" w:hAnsi="Arial" w:cs="Arial"/>
          <w:b/>
          <w:color w:val="121213"/>
          <w:sz w:val="24"/>
          <w:szCs w:val="24"/>
          <w:u w:val="single"/>
          <w:shd w:val="clear" w:color="auto" w:fill="FFFFFF"/>
          <w:lang w:eastAsia="es-MX"/>
        </w:rPr>
        <w:t xml:space="preserve"> B1</w:t>
      </w:r>
      <w:r>
        <w:rPr>
          <w:rFonts w:ascii="Arial" w:eastAsia="Times New Roman" w:hAnsi="Arial" w:cs="Arial"/>
          <w:b/>
          <w:color w:val="121213"/>
          <w:sz w:val="24"/>
          <w:szCs w:val="24"/>
          <w:u w:val="single"/>
          <w:shd w:val="clear" w:color="auto" w:fill="FFFFFF"/>
          <w:lang w:eastAsia="es-MX"/>
        </w:rPr>
        <w:t>: Implicaciones respecto del catálogo de sujetos obligados y sus obligaciones</w:t>
      </w:r>
    </w:p>
    <w:p w:rsidR="00241947" w:rsidRDefault="006A6C33" w:rsidP="00241947">
      <w:pPr>
        <w:shd w:val="clear" w:color="auto" w:fill="FFFFFF"/>
        <w:spacing w:before="100" w:beforeAutospacing="1" w:after="100" w:afterAutospacing="1" w:line="240" w:lineRule="auto"/>
        <w:jc w:val="center"/>
        <w:rPr>
          <w:rFonts w:ascii="Arial" w:eastAsia="Times New Roman" w:hAnsi="Arial" w:cs="Arial"/>
          <w:b/>
          <w:color w:val="121213"/>
          <w:sz w:val="24"/>
          <w:szCs w:val="24"/>
          <w:u w:val="single"/>
          <w:shd w:val="clear" w:color="auto" w:fill="FFFFFF"/>
          <w:lang w:eastAsia="es-MX"/>
        </w:rPr>
      </w:pPr>
      <w:r w:rsidRPr="006A6C33">
        <w:rPr>
          <w:rFonts w:ascii="Arial" w:eastAsia="Times New Roman" w:hAnsi="Arial" w:cs="Arial"/>
          <w:b/>
          <w:color w:val="121213"/>
          <w:sz w:val="24"/>
          <w:szCs w:val="24"/>
          <w:u w:val="single"/>
          <w:shd w:val="clear" w:color="auto" w:fill="FFFFFF"/>
          <w:lang w:eastAsia="es-MX"/>
        </w:rPr>
        <w:t>Sujetar al cumplimiento de obligaciones de transparencia y rendición de cuentas a los fideicomisos y figuras análogas que no rinden cuentas.</w:t>
      </w:r>
    </w:p>
    <w:p w:rsidR="00241947" w:rsidRPr="00241947" w:rsidRDefault="00241947" w:rsidP="00241947">
      <w:pPr>
        <w:shd w:val="clear" w:color="auto" w:fill="FFFFFF"/>
        <w:spacing w:before="100" w:beforeAutospacing="1" w:after="100" w:afterAutospacing="1" w:line="240" w:lineRule="auto"/>
        <w:jc w:val="right"/>
        <w:rPr>
          <w:rFonts w:ascii="Arial" w:eastAsia="Times New Roman" w:hAnsi="Arial" w:cs="Arial"/>
          <w:b/>
          <w:color w:val="121213"/>
          <w:sz w:val="24"/>
          <w:szCs w:val="24"/>
          <w:shd w:val="clear" w:color="auto" w:fill="FFFFFF"/>
          <w:lang w:eastAsia="es-MX"/>
        </w:rPr>
      </w:pPr>
      <w:r w:rsidRPr="00241947">
        <w:rPr>
          <w:rFonts w:ascii="Arial" w:eastAsia="Times New Roman" w:hAnsi="Arial" w:cs="Arial"/>
          <w:b/>
          <w:color w:val="121213"/>
          <w:sz w:val="24"/>
          <w:szCs w:val="24"/>
          <w:shd w:val="clear" w:color="auto" w:fill="FFFFFF"/>
          <w:lang w:eastAsia="es-MX"/>
        </w:rPr>
        <w:t>Ponente: Héctor Octavio Carriedo Sáenz</w:t>
      </w:r>
    </w:p>
    <w:p w:rsidR="00241947" w:rsidRPr="00241947" w:rsidRDefault="00241947" w:rsidP="00241947">
      <w:pPr>
        <w:shd w:val="clear" w:color="auto" w:fill="FFFFFF"/>
        <w:spacing w:before="100" w:beforeAutospacing="1" w:after="100" w:afterAutospacing="1" w:line="240" w:lineRule="auto"/>
        <w:jc w:val="right"/>
        <w:rPr>
          <w:rFonts w:ascii="Arial" w:eastAsia="Times New Roman" w:hAnsi="Arial" w:cs="Arial"/>
          <w:b/>
          <w:color w:val="121213"/>
          <w:sz w:val="24"/>
          <w:szCs w:val="24"/>
          <w:shd w:val="clear" w:color="auto" w:fill="FFFFFF"/>
          <w:lang w:eastAsia="es-MX"/>
        </w:rPr>
      </w:pPr>
      <w:r w:rsidRPr="00241947">
        <w:rPr>
          <w:rFonts w:ascii="Arial" w:eastAsia="Times New Roman" w:hAnsi="Arial" w:cs="Arial"/>
          <w:b/>
          <w:color w:val="121213"/>
          <w:sz w:val="24"/>
          <w:szCs w:val="24"/>
          <w:shd w:val="clear" w:color="auto" w:fill="FFFFFF"/>
          <w:lang w:eastAsia="es-MX"/>
        </w:rPr>
        <w:t>Comisonado CETAIP Durango</w:t>
      </w:r>
    </w:p>
    <w:p w:rsidR="00241947" w:rsidRDefault="00241947" w:rsidP="00A82C59">
      <w:pPr>
        <w:shd w:val="clear" w:color="auto" w:fill="FFFFFF"/>
        <w:spacing w:before="100" w:beforeAutospacing="1" w:after="100" w:afterAutospacing="1" w:line="240" w:lineRule="auto"/>
        <w:jc w:val="both"/>
        <w:rPr>
          <w:rFonts w:ascii="Arial" w:eastAsia="Times New Roman" w:hAnsi="Arial" w:cs="Arial"/>
          <w:b/>
          <w:color w:val="121213"/>
          <w:sz w:val="24"/>
          <w:szCs w:val="24"/>
          <w:u w:val="single"/>
          <w:shd w:val="clear" w:color="auto" w:fill="FFFFFF"/>
          <w:lang w:eastAsia="es-MX"/>
        </w:rPr>
      </w:pPr>
      <w:bookmarkStart w:id="0" w:name="_GoBack"/>
      <w:bookmarkEnd w:id="0"/>
    </w:p>
    <w:p w:rsidR="00241947" w:rsidRDefault="00241947" w:rsidP="00A82C59">
      <w:pPr>
        <w:shd w:val="clear" w:color="auto" w:fill="FFFFFF"/>
        <w:spacing w:before="100" w:beforeAutospacing="1" w:after="100" w:afterAutospacing="1" w:line="240" w:lineRule="auto"/>
        <w:jc w:val="both"/>
        <w:rPr>
          <w:rFonts w:ascii="Arial" w:eastAsia="Times New Roman" w:hAnsi="Arial" w:cs="Arial"/>
          <w:b/>
          <w:color w:val="121213"/>
          <w:sz w:val="24"/>
          <w:szCs w:val="24"/>
          <w:u w:val="single"/>
          <w:shd w:val="clear" w:color="auto" w:fill="FFFFFF"/>
          <w:lang w:eastAsia="es-MX"/>
        </w:rPr>
      </w:pPr>
    </w:p>
    <w:p w:rsidR="00241947" w:rsidRDefault="00241947" w:rsidP="00A82C59">
      <w:pPr>
        <w:shd w:val="clear" w:color="auto" w:fill="FFFFFF"/>
        <w:spacing w:before="100" w:beforeAutospacing="1" w:after="100" w:afterAutospacing="1" w:line="240" w:lineRule="auto"/>
        <w:jc w:val="both"/>
        <w:rPr>
          <w:rFonts w:ascii="Arial" w:eastAsia="Times New Roman" w:hAnsi="Arial" w:cs="Arial"/>
          <w:b/>
          <w:color w:val="121213"/>
          <w:sz w:val="24"/>
          <w:szCs w:val="24"/>
          <w:u w:val="single"/>
          <w:shd w:val="clear" w:color="auto" w:fill="FFFFFF"/>
          <w:lang w:eastAsia="es-MX"/>
        </w:rPr>
      </w:pPr>
    </w:p>
    <w:p w:rsidR="00241947" w:rsidRDefault="00241947" w:rsidP="00A82C59">
      <w:pPr>
        <w:shd w:val="clear" w:color="auto" w:fill="FFFFFF"/>
        <w:spacing w:before="100" w:beforeAutospacing="1" w:after="100" w:afterAutospacing="1" w:line="240" w:lineRule="auto"/>
        <w:jc w:val="both"/>
        <w:rPr>
          <w:rFonts w:ascii="Arial" w:eastAsia="Times New Roman" w:hAnsi="Arial" w:cs="Arial"/>
          <w:b/>
          <w:color w:val="121213"/>
          <w:sz w:val="24"/>
          <w:szCs w:val="24"/>
          <w:u w:val="single"/>
          <w:shd w:val="clear" w:color="auto" w:fill="FFFFFF"/>
          <w:lang w:eastAsia="es-MX"/>
        </w:rPr>
      </w:pPr>
    </w:p>
    <w:p w:rsidR="00241947" w:rsidRDefault="00241947" w:rsidP="00A82C59">
      <w:pPr>
        <w:shd w:val="clear" w:color="auto" w:fill="FFFFFF"/>
        <w:spacing w:before="100" w:beforeAutospacing="1" w:after="100" w:afterAutospacing="1" w:line="240" w:lineRule="auto"/>
        <w:jc w:val="both"/>
        <w:rPr>
          <w:rFonts w:ascii="Arial" w:eastAsia="Times New Roman" w:hAnsi="Arial" w:cs="Arial"/>
          <w:b/>
          <w:color w:val="121213"/>
          <w:sz w:val="24"/>
          <w:szCs w:val="24"/>
          <w:u w:val="single"/>
          <w:shd w:val="clear" w:color="auto" w:fill="FFFFFF"/>
          <w:lang w:eastAsia="es-MX"/>
        </w:rPr>
      </w:pPr>
    </w:p>
    <w:p w:rsidR="00241947" w:rsidRDefault="00241947" w:rsidP="00A82C59">
      <w:pPr>
        <w:shd w:val="clear" w:color="auto" w:fill="FFFFFF"/>
        <w:spacing w:before="100" w:beforeAutospacing="1" w:after="100" w:afterAutospacing="1" w:line="240" w:lineRule="auto"/>
        <w:jc w:val="both"/>
        <w:rPr>
          <w:rFonts w:ascii="Arial" w:eastAsia="Times New Roman" w:hAnsi="Arial" w:cs="Arial"/>
          <w:b/>
          <w:color w:val="121213"/>
          <w:sz w:val="24"/>
          <w:szCs w:val="24"/>
          <w:u w:val="single"/>
          <w:shd w:val="clear" w:color="auto" w:fill="FFFFFF"/>
          <w:lang w:eastAsia="es-MX"/>
        </w:rPr>
      </w:pPr>
    </w:p>
    <w:p w:rsidR="00241947" w:rsidRDefault="00241947" w:rsidP="00A82C59">
      <w:pPr>
        <w:shd w:val="clear" w:color="auto" w:fill="FFFFFF"/>
        <w:spacing w:before="100" w:beforeAutospacing="1" w:after="100" w:afterAutospacing="1" w:line="240" w:lineRule="auto"/>
        <w:jc w:val="both"/>
        <w:rPr>
          <w:rFonts w:ascii="Arial" w:eastAsia="Times New Roman" w:hAnsi="Arial" w:cs="Arial"/>
          <w:b/>
          <w:color w:val="121213"/>
          <w:sz w:val="24"/>
          <w:szCs w:val="24"/>
          <w:u w:val="single"/>
          <w:shd w:val="clear" w:color="auto" w:fill="FFFFFF"/>
          <w:lang w:eastAsia="es-MX"/>
        </w:rPr>
      </w:pPr>
    </w:p>
    <w:p w:rsidR="00241947" w:rsidRDefault="00241947" w:rsidP="00A82C59">
      <w:pPr>
        <w:shd w:val="clear" w:color="auto" w:fill="FFFFFF"/>
        <w:spacing w:before="100" w:beforeAutospacing="1" w:after="100" w:afterAutospacing="1" w:line="240" w:lineRule="auto"/>
        <w:jc w:val="both"/>
        <w:rPr>
          <w:rFonts w:ascii="Arial" w:eastAsia="Times New Roman" w:hAnsi="Arial" w:cs="Arial"/>
          <w:b/>
          <w:color w:val="121213"/>
          <w:sz w:val="24"/>
          <w:szCs w:val="24"/>
          <w:u w:val="single"/>
          <w:shd w:val="clear" w:color="auto" w:fill="FFFFFF"/>
          <w:lang w:eastAsia="es-MX"/>
        </w:rPr>
      </w:pPr>
    </w:p>
    <w:p w:rsidR="00241947" w:rsidRDefault="00241947" w:rsidP="00A82C59">
      <w:pPr>
        <w:shd w:val="clear" w:color="auto" w:fill="FFFFFF"/>
        <w:spacing w:before="100" w:beforeAutospacing="1" w:after="100" w:afterAutospacing="1" w:line="240" w:lineRule="auto"/>
        <w:jc w:val="both"/>
        <w:rPr>
          <w:rFonts w:ascii="Arial" w:eastAsia="Times New Roman" w:hAnsi="Arial" w:cs="Arial"/>
          <w:b/>
          <w:color w:val="121213"/>
          <w:sz w:val="24"/>
          <w:szCs w:val="24"/>
          <w:u w:val="single"/>
          <w:shd w:val="clear" w:color="auto" w:fill="FFFFFF"/>
          <w:lang w:eastAsia="es-MX"/>
        </w:rPr>
      </w:pPr>
    </w:p>
    <w:p w:rsidR="00241947" w:rsidRDefault="00241947" w:rsidP="00A82C59">
      <w:pPr>
        <w:shd w:val="clear" w:color="auto" w:fill="FFFFFF"/>
        <w:spacing w:before="100" w:beforeAutospacing="1" w:after="100" w:afterAutospacing="1" w:line="240" w:lineRule="auto"/>
        <w:jc w:val="both"/>
        <w:rPr>
          <w:rFonts w:ascii="Arial" w:eastAsia="Times New Roman" w:hAnsi="Arial" w:cs="Arial"/>
          <w:b/>
          <w:color w:val="121213"/>
          <w:sz w:val="24"/>
          <w:szCs w:val="24"/>
          <w:u w:val="single"/>
          <w:shd w:val="clear" w:color="auto" w:fill="FFFFFF"/>
          <w:lang w:eastAsia="es-MX"/>
        </w:rPr>
      </w:pPr>
    </w:p>
    <w:p w:rsidR="00241947" w:rsidRDefault="00241947" w:rsidP="00A82C59">
      <w:pPr>
        <w:shd w:val="clear" w:color="auto" w:fill="FFFFFF"/>
        <w:spacing w:before="100" w:beforeAutospacing="1" w:after="100" w:afterAutospacing="1" w:line="240" w:lineRule="auto"/>
        <w:jc w:val="both"/>
        <w:rPr>
          <w:rFonts w:ascii="Arial" w:eastAsia="Times New Roman" w:hAnsi="Arial" w:cs="Arial"/>
          <w:b/>
          <w:color w:val="121213"/>
          <w:sz w:val="24"/>
          <w:szCs w:val="24"/>
          <w:u w:val="single"/>
          <w:shd w:val="clear" w:color="auto" w:fill="FFFFFF"/>
          <w:lang w:eastAsia="es-MX"/>
        </w:rPr>
      </w:pPr>
    </w:p>
    <w:p w:rsidR="00241947" w:rsidRDefault="00241947" w:rsidP="00A82C59">
      <w:pPr>
        <w:shd w:val="clear" w:color="auto" w:fill="FFFFFF"/>
        <w:spacing w:before="100" w:beforeAutospacing="1" w:after="100" w:afterAutospacing="1" w:line="240" w:lineRule="auto"/>
        <w:jc w:val="both"/>
        <w:rPr>
          <w:rFonts w:ascii="Arial" w:eastAsia="Times New Roman" w:hAnsi="Arial" w:cs="Arial"/>
          <w:b/>
          <w:color w:val="121213"/>
          <w:sz w:val="24"/>
          <w:szCs w:val="24"/>
          <w:u w:val="single"/>
          <w:shd w:val="clear" w:color="auto" w:fill="FFFFFF"/>
          <w:lang w:eastAsia="es-MX"/>
        </w:rPr>
      </w:pPr>
    </w:p>
    <w:p w:rsidR="00241947" w:rsidRDefault="00241947" w:rsidP="00A82C59">
      <w:pPr>
        <w:shd w:val="clear" w:color="auto" w:fill="FFFFFF"/>
        <w:spacing w:before="100" w:beforeAutospacing="1" w:after="100" w:afterAutospacing="1" w:line="240" w:lineRule="auto"/>
        <w:jc w:val="both"/>
        <w:rPr>
          <w:rFonts w:ascii="Arial" w:eastAsia="Times New Roman" w:hAnsi="Arial" w:cs="Arial"/>
          <w:b/>
          <w:color w:val="121213"/>
          <w:sz w:val="24"/>
          <w:szCs w:val="24"/>
          <w:u w:val="single"/>
          <w:shd w:val="clear" w:color="auto" w:fill="FFFFFF"/>
          <w:lang w:eastAsia="es-MX"/>
        </w:rPr>
      </w:pPr>
    </w:p>
    <w:p w:rsidR="00241947" w:rsidRDefault="00241947" w:rsidP="00241947">
      <w:pPr>
        <w:shd w:val="clear" w:color="auto" w:fill="FFFFFF"/>
        <w:spacing w:before="100" w:beforeAutospacing="1" w:after="100" w:afterAutospacing="1" w:line="240" w:lineRule="auto"/>
        <w:jc w:val="both"/>
        <w:rPr>
          <w:rFonts w:ascii="Arial" w:eastAsia="Times New Roman" w:hAnsi="Arial" w:cs="Arial"/>
          <w:color w:val="121213"/>
          <w:sz w:val="24"/>
          <w:szCs w:val="24"/>
          <w:shd w:val="clear" w:color="auto" w:fill="FFFFFF"/>
          <w:lang w:eastAsia="es-MX"/>
        </w:rPr>
      </w:pPr>
      <w:r w:rsidRPr="006A6C33">
        <w:rPr>
          <w:rFonts w:ascii="Arial" w:eastAsia="Times New Roman" w:hAnsi="Arial" w:cs="Arial"/>
          <w:b/>
          <w:color w:val="121213"/>
          <w:sz w:val="24"/>
          <w:szCs w:val="24"/>
          <w:u w:val="single"/>
          <w:shd w:val="clear" w:color="auto" w:fill="FFFFFF"/>
          <w:lang w:eastAsia="es-MX"/>
        </w:rPr>
        <w:lastRenderedPageBreak/>
        <w:t>Sujetar al cumplimiento de obligaciones de transparencia y rendición de cuentas a los fideicomisos y figuras análogas que no rinden cuentas.</w:t>
      </w:r>
    </w:p>
    <w:p w:rsidR="00D25205" w:rsidRPr="0010124C" w:rsidRDefault="00A82C59" w:rsidP="00A82C59">
      <w:pPr>
        <w:shd w:val="clear" w:color="auto" w:fill="FFFFFF"/>
        <w:spacing w:before="100" w:beforeAutospacing="1" w:after="100" w:afterAutospacing="1" w:line="240" w:lineRule="auto"/>
        <w:jc w:val="both"/>
        <w:rPr>
          <w:rFonts w:ascii="Arial" w:eastAsia="Times New Roman" w:hAnsi="Arial" w:cs="Arial"/>
          <w:color w:val="121213"/>
          <w:sz w:val="24"/>
          <w:szCs w:val="24"/>
          <w:shd w:val="clear" w:color="auto" w:fill="FFFFFF"/>
          <w:lang w:eastAsia="es-MX"/>
        </w:rPr>
      </w:pPr>
      <w:r w:rsidRPr="0010124C">
        <w:rPr>
          <w:rFonts w:ascii="Arial" w:eastAsia="Times New Roman" w:hAnsi="Arial" w:cs="Arial"/>
          <w:color w:val="121213"/>
          <w:sz w:val="24"/>
          <w:szCs w:val="24"/>
          <w:shd w:val="clear" w:color="auto" w:fill="FFFFFF"/>
          <w:lang w:eastAsia="es-MX"/>
        </w:rPr>
        <w:t xml:space="preserve">En el debate actual sobre las reformas necesarias a las normas </w:t>
      </w:r>
      <w:r w:rsidR="00D25205" w:rsidRPr="0010124C">
        <w:rPr>
          <w:rFonts w:ascii="Arial" w:eastAsia="Times New Roman" w:hAnsi="Arial" w:cs="Arial"/>
          <w:color w:val="121213"/>
          <w:sz w:val="24"/>
          <w:szCs w:val="24"/>
          <w:shd w:val="clear" w:color="auto" w:fill="FFFFFF"/>
          <w:lang w:eastAsia="es-MX"/>
        </w:rPr>
        <w:t xml:space="preserve">jurídicas </w:t>
      </w:r>
      <w:r w:rsidRPr="0010124C">
        <w:rPr>
          <w:rFonts w:ascii="Arial" w:eastAsia="Times New Roman" w:hAnsi="Arial" w:cs="Arial"/>
          <w:color w:val="121213"/>
          <w:sz w:val="24"/>
          <w:szCs w:val="24"/>
          <w:shd w:val="clear" w:color="auto" w:fill="FFFFFF"/>
          <w:lang w:eastAsia="es-MX"/>
        </w:rPr>
        <w:t>de la transparencia gubernamental y la rendición de cuentas,</w:t>
      </w:r>
      <w:r w:rsidR="00D25205" w:rsidRPr="0010124C">
        <w:rPr>
          <w:rFonts w:ascii="Arial" w:eastAsia="Times New Roman" w:hAnsi="Arial" w:cs="Arial"/>
          <w:color w:val="121213"/>
          <w:sz w:val="24"/>
          <w:szCs w:val="24"/>
          <w:shd w:val="clear" w:color="auto" w:fill="FFFFFF"/>
          <w:lang w:eastAsia="es-MX"/>
        </w:rPr>
        <w:t xml:space="preserve"> </w:t>
      </w:r>
      <w:r w:rsidRPr="0010124C">
        <w:rPr>
          <w:rFonts w:ascii="Arial" w:eastAsia="Times New Roman" w:hAnsi="Arial" w:cs="Arial"/>
          <w:color w:val="121213"/>
          <w:sz w:val="24"/>
          <w:szCs w:val="24"/>
          <w:shd w:val="clear" w:color="auto" w:fill="FFFFFF"/>
          <w:lang w:eastAsia="es-MX"/>
        </w:rPr>
        <w:t>poco se ha dicho acerca de los fideicomisos opacos de la Administración Pública Federal, que han sido una figura jurídica usada recurrentemente para no rendir cuentas.</w:t>
      </w:r>
    </w:p>
    <w:p w:rsidR="00A82C59" w:rsidRPr="0010124C" w:rsidRDefault="00A82C59" w:rsidP="00A82C59">
      <w:pPr>
        <w:shd w:val="clear" w:color="auto" w:fill="FFFFFF"/>
        <w:spacing w:before="100" w:beforeAutospacing="1" w:after="100" w:afterAutospacing="1" w:line="240" w:lineRule="auto"/>
        <w:jc w:val="both"/>
        <w:rPr>
          <w:rFonts w:ascii="Arial" w:eastAsia="Times New Roman" w:hAnsi="Arial" w:cs="Arial"/>
          <w:color w:val="121213"/>
          <w:sz w:val="24"/>
          <w:szCs w:val="24"/>
          <w:shd w:val="clear" w:color="auto" w:fill="FFFFFF"/>
          <w:lang w:eastAsia="es-MX"/>
        </w:rPr>
      </w:pPr>
      <w:r w:rsidRPr="0010124C">
        <w:rPr>
          <w:rFonts w:ascii="Arial" w:eastAsia="Times New Roman" w:hAnsi="Arial" w:cs="Arial"/>
          <w:color w:val="121213"/>
          <w:sz w:val="24"/>
          <w:szCs w:val="24"/>
          <w:shd w:val="clear" w:color="auto" w:fill="FFFFFF"/>
          <w:lang w:eastAsia="es-MX"/>
        </w:rPr>
        <w:t>Según la Auditoría Superior de la Federación, la Cuenta Pública Federal del 2010 registraba 369 fideicomisos o figuras “análogas”, sin estructura orgánica, que manejaban 333 mil 852.8 millones de pesos, de los cuales no se rinden cuentas, ni de su uso ni de sus resultados.</w:t>
      </w:r>
    </w:p>
    <w:p w:rsidR="005D63BD" w:rsidRDefault="00A82C59" w:rsidP="00AC1E8E">
      <w:pPr>
        <w:shd w:val="clear" w:color="auto" w:fill="FFFFFF"/>
        <w:spacing w:before="100" w:beforeAutospacing="1" w:after="100" w:afterAutospacing="1" w:line="240" w:lineRule="auto"/>
        <w:jc w:val="both"/>
        <w:rPr>
          <w:rFonts w:ascii="Arial" w:eastAsia="Times New Roman" w:hAnsi="Arial" w:cs="Arial"/>
          <w:color w:val="121213"/>
          <w:sz w:val="24"/>
          <w:szCs w:val="24"/>
          <w:shd w:val="clear" w:color="auto" w:fill="FFFFFF"/>
          <w:lang w:eastAsia="es-MX"/>
        </w:rPr>
      </w:pPr>
      <w:r w:rsidRPr="0010124C">
        <w:rPr>
          <w:rFonts w:ascii="Arial" w:eastAsia="Times New Roman" w:hAnsi="Arial" w:cs="Arial"/>
          <w:color w:val="121213"/>
          <w:sz w:val="24"/>
          <w:szCs w:val="24"/>
          <w:shd w:val="clear" w:color="auto" w:fill="FFFFFF"/>
          <w:lang w:eastAsia="es-MX"/>
        </w:rPr>
        <w:t>Esos cuantiosos recursos representan, por ejemplo, más de nueve veces el endeudamiento total del estado de Coahuila que asciende a 36 mil 503.9 millones de pesos o también serían equivalentes al presupuesto de casi tres décadas en un estado como Durango.</w:t>
      </w:r>
      <w:r w:rsidR="00AC1E8E" w:rsidRPr="00AC1E8E">
        <w:rPr>
          <w:rFonts w:ascii="Arial" w:eastAsia="Times New Roman" w:hAnsi="Arial" w:cs="Arial"/>
          <w:color w:val="121213"/>
          <w:sz w:val="24"/>
          <w:szCs w:val="24"/>
          <w:shd w:val="clear" w:color="auto" w:fill="FFFFFF"/>
          <w:lang w:eastAsia="es-MX"/>
        </w:rPr>
        <w:t xml:space="preserve"> </w:t>
      </w:r>
    </w:p>
    <w:p w:rsidR="00AC1E8E" w:rsidRPr="0010124C" w:rsidRDefault="00AC1E8E" w:rsidP="00AC1E8E">
      <w:pPr>
        <w:shd w:val="clear" w:color="auto" w:fill="FFFFFF"/>
        <w:spacing w:before="100" w:beforeAutospacing="1" w:after="100" w:afterAutospacing="1" w:line="240" w:lineRule="auto"/>
        <w:jc w:val="both"/>
        <w:rPr>
          <w:rFonts w:ascii="Arial" w:eastAsia="Times New Roman" w:hAnsi="Arial" w:cs="Arial"/>
          <w:color w:val="121213"/>
          <w:sz w:val="24"/>
          <w:szCs w:val="24"/>
          <w:shd w:val="clear" w:color="auto" w:fill="FFFFFF"/>
          <w:lang w:eastAsia="es-MX"/>
        </w:rPr>
      </w:pPr>
      <w:r w:rsidRPr="0010124C">
        <w:rPr>
          <w:rFonts w:ascii="Arial" w:eastAsia="Times New Roman" w:hAnsi="Arial" w:cs="Arial"/>
          <w:color w:val="121213"/>
          <w:sz w:val="24"/>
          <w:szCs w:val="24"/>
          <w:shd w:val="clear" w:color="auto" w:fill="FFFFFF"/>
          <w:lang w:eastAsia="es-MX"/>
        </w:rPr>
        <w:t>Desde la revi</w:t>
      </w:r>
      <w:r w:rsidR="005D63BD">
        <w:rPr>
          <w:rFonts w:ascii="Arial" w:eastAsia="Times New Roman" w:hAnsi="Arial" w:cs="Arial"/>
          <w:color w:val="121213"/>
          <w:sz w:val="24"/>
          <w:szCs w:val="24"/>
          <w:shd w:val="clear" w:color="auto" w:fill="FFFFFF"/>
          <w:lang w:eastAsia="es-MX"/>
        </w:rPr>
        <w:t xml:space="preserve">sión de la Cuenta Pública 2007 </w:t>
      </w:r>
      <w:r w:rsidRPr="0010124C">
        <w:rPr>
          <w:rFonts w:ascii="Arial" w:eastAsia="Times New Roman" w:hAnsi="Arial" w:cs="Arial"/>
          <w:color w:val="121213"/>
          <w:sz w:val="24"/>
          <w:szCs w:val="24"/>
          <w:shd w:val="clear" w:color="auto" w:fill="FFFFFF"/>
          <w:lang w:eastAsia="es-MX"/>
        </w:rPr>
        <w:t xml:space="preserve">se ha observado </w:t>
      </w:r>
      <w:r w:rsidR="0074061D">
        <w:rPr>
          <w:rFonts w:ascii="Arial" w:eastAsia="Times New Roman" w:hAnsi="Arial" w:cs="Arial"/>
          <w:color w:val="121213"/>
          <w:sz w:val="24"/>
          <w:szCs w:val="24"/>
          <w:shd w:val="clear" w:color="auto" w:fill="FFFFFF"/>
          <w:lang w:eastAsia="es-MX"/>
        </w:rPr>
        <w:t>la proliferación d</w:t>
      </w:r>
      <w:r w:rsidRPr="0010124C">
        <w:rPr>
          <w:rFonts w:ascii="Arial" w:eastAsia="Times New Roman" w:hAnsi="Arial" w:cs="Arial"/>
          <w:color w:val="121213"/>
          <w:sz w:val="24"/>
          <w:szCs w:val="24"/>
          <w:shd w:val="clear" w:color="auto" w:fill="FFFFFF"/>
          <w:lang w:eastAsia="es-MX"/>
        </w:rPr>
        <w:t>e figuras análogas a fideicomisos públicos no pertenecientes a la Administración Pública que, por su naturaleza, no se ajustan a la legislación vigente, ya que carecen de patrimonio, como es el caso de los mandatos y las comisiones mercantiles.</w:t>
      </w:r>
    </w:p>
    <w:p w:rsidR="00AC1E8E" w:rsidRPr="0010124C" w:rsidRDefault="00AC1E8E" w:rsidP="00AC1E8E">
      <w:pPr>
        <w:shd w:val="clear" w:color="auto" w:fill="FFFFFF"/>
        <w:spacing w:before="100" w:beforeAutospacing="1" w:after="100" w:afterAutospacing="1" w:line="240" w:lineRule="auto"/>
        <w:jc w:val="both"/>
        <w:rPr>
          <w:rFonts w:ascii="Arial" w:eastAsia="Times New Roman" w:hAnsi="Arial" w:cs="Arial"/>
          <w:color w:val="121213"/>
          <w:sz w:val="24"/>
          <w:szCs w:val="24"/>
          <w:shd w:val="clear" w:color="auto" w:fill="FFFFFF"/>
          <w:lang w:eastAsia="es-MX"/>
        </w:rPr>
      </w:pPr>
      <w:r w:rsidRPr="0010124C">
        <w:rPr>
          <w:rFonts w:ascii="Arial" w:eastAsia="Times New Roman" w:hAnsi="Arial" w:cs="Arial"/>
          <w:color w:val="121213"/>
          <w:sz w:val="24"/>
          <w:szCs w:val="24"/>
          <w:shd w:val="clear" w:color="auto" w:fill="FFFFFF"/>
          <w:lang w:eastAsia="es-MX"/>
        </w:rPr>
        <w:t xml:space="preserve">La </w:t>
      </w:r>
      <w:r w:rsidR="0074061D">
        <w:rPr>
          <w:rFonts w:ascii="Arial" w:eastAsia="Times New Roman" w:hAnsi="Arial" w:cs="Arial"/>
          <w:color w:val="121213"/>
          <w:sz w:val="24"/>
          <w:szCs w:val="24"/>
          <w:shd w:val="clear" w:color="auto" w:fill="FFFFFF"/>
          <w:lang w:eastAsia="es-MX"/>
        </w:rPr>
        <w:t>práctica de utilizar e</w:t>
      </w:r>
      <w:r w:rsidRPr="0010124C">
        <w:rPr>
          <w:rFonts w:ascii="Arial" w:eastAsia="Times New Roman" w:hAnsi="Arial" w:cs="Arial"/>
          <w:color w:val="121213"/>
          <w:sz w:val="24"/>
          <w:szCs w:val="24"/>
          <w:shd w:val="clear" w:color="auto" w:fill="FFFFFF"/>
          <w:lang w:eastAsia="es-MX"/>
        </w:rPr>
        <w:t xml:space="preserve">sas figuras </w:t>
      </w:r>
      <w:r w:rsidR="0074061D">
        <w:rPr>
          <w:rFonts w:ascii="Arial" w:eastAsia="Times New Roman" w:hAnsi="Arial" w:cs="Arial"/>
          <w:color w:val="121213"/>
          <w:sz w:val="24"/>
          <w:szCs w:val="24"/>
          <w:shd w:val="clear" w:color="auto" w:fill="FFFFFF"/>
          <w:lang w:eastAsia="es-MX"/>
        </w:rPr>
        <w:t>carentes de patrimonio se da al margen del</w:t>
      </w:r>
      <w:r w:rsidRPr="0010124C">
        <w:rPr>
          <w:rFonts w:ascii="Arial" w:eastAsia="Times New Roman" w:hAnsi="Arial" w:cs="Arial"/>
          <w:color w:val="121213"/>
          <w:sz w:val="24"/>
          <w:szCs w:val="24"/>
          <w:shd w:val="clear" w:color="auto" w:fill="FFFFFF"/>
          <w:lang w:eastAsia="es-MX"/>
        </w:rPr>
        <w:t xml:space="preserve"> régimen constitucional </w:t>
      </w:r>
      <w:r w:rsidR="0074061D">
        <w:rPr>
          <w:rFonts w:ascii="Arial" w:eastAsia="Times New Roman" w:hAnsi="Arial" w:cs="Arial"/>
          <w:color w:val="121213"/>
          <w:sz w:val="24"/>
          <w:szCs w:val="24"/>
          <w:shd w:val="clear" w:color="auto" w:fill="FFFFFF"/>
          <w:lang w:eastAsia="es-MX"/>
        </w:rPr>
        <w:t xml:space="preserve">para la </w:t>
      </w:r>
      <w:r w:rsidRPr="0010124C">
        <w:rPr>
          <w:rFonts w:ascii="Arial" w:eastAsia="Times New Roman" w:hAnsi="Arial" w:cs="Arial"/>
          <w:color w:val="121213"/>
          <w:sz w:val="24"/>
          <w:szCs w:val="24"/>
          <w:shd w:val="clear" w:color="auto" w:fill="FFFFFF"/>
          <w:lang w:eastAsia="es-MX"/>
        </w:rPr>
        <w:t>planeación, presupuestación, autorización, ejercicio, contabilidad, control, transparencia y rendición de cuentas del gasto público</w:t>
      </w:r>
      <w:r w:rsidR="0074061D">
        <w:rPr>
          <w:rFonts w:ascii="Arial" w:eastAsia="Times New Roman" w:hAnsi="Arial" w:cs="Arial"/>
          <w:color w:val="121213"/>
          <w:sz w:val="24"/>
          <w:szCs w:val="24"/>
          <w:shd w:val="clear" w:color="auto" w:fill="FFFFFF"/>
          <w:lang w:eastAsia="es-MX"/>
        </w:rPr>
        <w:t>.</w:t>
      </w:r>
    </w:p>
    <w:p w:rsidR="00A82C59" w:rsidRPr="0010124C" w:rsidRDefault="00A82C59" w:rsidP="00A82C59">
      <w:pPr>
        <w:shd w:val="clear" w:color="auto" w:fill="FFFFFF"/>
        <w:spacing w:before="100" w:beforeAutospacing="1" w:after="100" w:afterAutospacing="1" w:line="240" w:lineRule="auto"/>
        <w:jc w:val="both"/>
        <w:rPr>
          <w:rFonts w:ascii="Arial" w:eastAsia="Times New Roman" w:hAnsi="Arial" w:cs="Arial"/>
          <w:color w:val="121213"/>
          <w:sz w:val="24"/>
          <w:szCs w:val="24"/>
          <w:shd w:val="clear" w:color="auto" w:fill="FFFFFF"/>
          <w:lang w:eastAsia="es-MX"/>
        </w:rPr>
      </w:pPr>
      <w:r w:rsidRPr="0010124C">
        <w:rPr>
          <w:rFonts w:ascii="Arial" w:eastAsia="Times New Roman" w:hAnsi="Arial" w:cs="Arial"/>
          <w:color w:val="121213"/>
          <w:sz w:val="24"/>
          <w:szCs w:val="24"/>
          <w:shd w:val="clear" w:color="auto" w:fill="FFFFFF"/>
          <w:lang w:eastAsia="es-MX"/>
        </w:rPr>
        <w:t>Sin duda, el de los fideicomisos y figuras análogas, es otro gran tema pendiente en materia de transparencia y rendición de cuentas.</w:t>
      </w:r>
    </w:p>
    <w:p w:rsidR="00A82C59" w:rsidRPr="0010124C" w:rsidRDefault="00A82C59" w:rsidP="00A82C59">
      <w:pPr>
        <w:shd w:val="clear" w:color="auto" w:fill="FFFFFF"/>
        <w:spacing w:before="100" w:beforeAutospacing="1" w:after="100" w:afterAutospacing="1" w:line="240" w:lineRule="auto"/>
        <w:jc w:val="both"/>
        <w:rPr>
          <w:rFonts w:ascii="Arial" w:eastAsia="Times New Roman" w:hAnsi="Arial" w:cs="Arial"/>
          <w:color w:val="121213"/>
          <w:sz w:val="24"/>
          <w:szCs w:val="24"/>
          <w:shd w:val="clear" w:color="auto" w:fill="FFFFFF"/>
          <w:lang w:eastAsia="es-MX"/>
        </w:rPr>
      </w:pPr>
      <w:r w:rsidRPr="0010124C">
        <w:rPr>
          <w:rFonts w:ascii="Arial" w:eastAsia="Times New Roman" w:hAnsi="Arial" w:cs="Arial"/>
          <w:color w:val="121213"/>
          <w:sz w:val="24"/>
          <w:szCs w:val="24"/>
          <w:shd w:val="clear" w:color="auto" w:fill="FFFFFF"/>
          <w:lang w:eastAsia="es-MX"/>
        </w:rPr>
        <w:t>La Auditoría Superior de la Federación en su Informe del Resultado de la Revisión y Fiscalización Superior de la Cuenta Pública 2010, con respecto a los fideicomisos que no rinden cuentas ha señalado lo siguiente:</w:t>
      </w:r>
    </w:p>
    <w:p w:rsidR="00AC1E8E" w:rsidRDefault="00A82C59" w:rsidP="00A82C59">
      <w:pPr>
        <w:shd w:val="clear" w:color="auto" w:fill="FFFFFF"/>
        <w:spacing w:before="100" w:beforeAutospacing="1" w:after="100" w:afterAutospacing="1" w:line="240" w:lineRule="auto"/>
        <w:jc w:val="both"/>
        <w:rPr>
          <w:rFonts w:ascii="Arial" w:eastAsia="Times New Roman" w:hAnsi="Arial" w:cs="Arial"/>
          <w:color w:val="121213"/>
          <w:sz w:val="24"/>
          <w:szCs w:val="24"/>
          <w:shd w:val="clear" w:color="auto" w:fill="FFFFFF"/>
          <w:lang w:eastAsia="es-MX"/>
        </w:rPr>
      </w:pPr>
      <w:r w:rsidRPr="0010124C">
        <w:rPr>
          <w:rFonts w:ascii="Arial" w:eastAsia="Times New Roman" w:hAnsi="Arial" w:cs="Arial"/>
          <w:color w:val="121213"/>
          <w:sz w:val="24"/>
          <w:szCs w:val="24"/>
          <w:shd w:val="clear" w:color="auto" w:fill="FFFFFF"/>
          <w:lang w:eastAsia="es-MX"/>
        </w:rPr>
        <w:t xml:space="preserve">”…En el caso de los mandatos o análogos constituidos al amparo del Reglamento de la Ley Federal de Presupuesto y Responsabilidad Hacendaria, cualquier dependencia puede contratarlos, entregar recursos al mandatario con cargo en su presupuesto y, transferirles obligaciones que, como ejecutoras de gasto, tendrían que ejercer directamente dichas dependencias, como parte del ejercicio de su presupuesto y rendir cuenta de ellas en la Cuenta Pública. Esta práctica representa una de las áreas de mayor opacidad del gasto público, e incumple los artículos 74, fracciones IV y VI, y 126 de la Constitución Política de los Estados Unidos Mexicanos, así como 18 y 45 de la Ley Federal de Presupuesto y Responsabilidad Hacendaria.” </w:t>
      </w:r>
    </w:p>
    <w:p w:rsidR="0010124C" w:rsidRPr="0028229A" w:rsidRDefault="00BA5CBE" w:rsidP="0028229A">
      <w:pPr>
        <w:shd w:val="clear" w:color="auto" w:fill="FFFFFF"/>
        <w:spacing w:before="100" w:beforeAutospacing="1" w:after="100" w:afterAutospacing="1" w:line="240" w:lineRule="auto"/>
        <w:jc w:val="both"/>
        <w:rPr>
          <w:rFonts w:ascii="Arial" w:eastAsia="Times New Roman" w:hAnsi="Arial" w:cs="Arial"/>
          <w:color w:val="121213"/>
          <w:sz w:val="24"/>
          <w:szCs w:val="24"/>
          <w:shd w:val="clear" w:color="auto" w:fill="FFFFFF"/>
          <w:lang w:eastAsia="es-MX"/>
        </w:rPr>
      </w:pPr>
      <w:r w:rsidRPr="0028229A">
        <w:rPr>
          <w:rFonts w:ascii="Arial" w:eastAsia="Times New Roman" w:hAnsi="Arial" w:cs="Arial"/>
          <w:color w:val="121213"/>
          <w:sz w:val="24"/>
          <w:szCs w:val="24"/>
          <w:shd w:val="clear" w:color="auto" w:fill="FFFFFF"/>
          <w:lang w:eastAsia="es-MX"/>
        </w:rPr>
        <w:t xml:space="preserve">En todo caso deben establecerse controles de transparencia y rendición de cuentas sobre los fideicomisos y figuras análogas que no rinden cuentas. Por ello la ley general de transparencia </w:t>
      </w:r>
      <w:r w:rsidR="00A56084" w:rsidRPr="0028229A">
        <w:rPr>
          <w:rFonts w:ascii="Arial" w:eastAsia="Times New Roman" w:hAnsi="Arial" w:cs="Arial"/>
          <w:color w:val="121213"/>
          <w:sz w:val="24"/>
          <w:szCs w:val="24"/>
          <w:shd w:val="clear" w:color="auto" w:fill="FFFFFF"/>
          <w:lang w:eastAsia="es-MX"/>
        </w:rPr>
        <w:t>debe</w:t>
      </w:r>
      <w:r w:rsidRPr="0028229A">
        <w:rPr>
          <w:rFonts w:ascii="Arial" w:eastAsia="Times New Roman" w:hAnsi="Arial" w:cs="Arial"/>
          <w:color w:val="121213"/>
          <w:sz w:val="24"/>
          <w:szCs w:val="24"/>
          <w:shd w:val="clear" w:color="auto" w:fill="FFFFFF"/>
          <w:lang w:eastAsia="es-MX"/>
        </w:rPr>
        <w:t>ría</w:t>
      </w:r>
      <w:r w:rsidR="00A56084" w:rsidRPr="0028229A">
        <w:rPr>
          <w:rFonts w:ascii="Arial" w:eastAsia="Times New Roman" w:hAnsi="Arial" w:cs="Arial"/>
          <w:color w:val="121213"/>
          <w:sz w:val="24"/>
          <w:szCs w:val="24"/>
          <w:shd w:val="clear" w:color="auto" w:fill="FFFFFF"/>
          <w:lang w:eastAsia="es-MX"/>
        </w:rPr>
        <w:t xml:space="preserve"> establecer como información </w:t>
      </w:r>
      <w:r w:rsidR="00A56084" w:rsidRPr="0028229A">
        <w:rPr>
          <w:rFonts w:ascii="Arial" w:eastAsia="Times New Roman" w:hAnsi="Arial" w:cs="Arial"/>
          <w:color w:val="121213"/>
          <w:sz w:val="24"/>
          <w:szCs w:val="24"/>
          <w:shd w:val="clear" w:color="auto" w:fill="FFFFFF"/>
          <w:lang w:eastAsia="es-MX"/>
        </w:rPr>
        <w:lastRenderedPageBreak/>
        <w:t xml:space="preserve">pública de oficio la referente a </w:t>
      </w:r>
      <w:r w:rsidR="009151A5" w:rsidRPr="0028229A">
        <w:rPr>
          <w:rFonts w:ascii="Arial" w:eastAsia="Times New Roman" w:hAnsi="Arial" w:cs="Arial"/>
          <w:color w:val="121213"/>
          <w:sz w:val="24"/>
          <w:szCs w:val="24"/>
          <w:shd w:val="clear" w:color="auto" w:fill="FFFFFF"/>
          <w:lang w:eastAsia="es-MX"/>
        </w:rPr>
        <w:t xml:space="preserve">los recursos que no sean ejercidos, así como los reintegros de recursos no ejercidos. Con estas obligaciones </w:t>
      </w:r>
      <w:r w:rsidRPr="0028229A">
        <w:rPr>
          <w:rFonts w:ascii="Arial" w:eastAsia="Times New Roman" w:hAnsi="Arial" w:cs="Arial"/>
          <w:color w:val="121213"/>
          <w:sz w:val="24"/>
          <w:szCs w:val="24"/>
          <w:shd w:val="clear" w:color="auto" w:fill="FFFFFF"/>
          <w:lang w:eastAsia="es-MX"/>
        </w:rPr>
        <w:t xml:space="preserve">básicas </w:t>
      </w:r>
      <w:r w:rsidR="009151A5" w:rsidRPr="0028229A">
        <w:rPr>
          <w:rFonts w:ascii="Arial" w:eastAsia="Times New Roman" w:hAnsi="Arial" w:cs="Arial"/>
          <w:color w:val="121213"/>
          <w:sz w:val="24"/>
          <w:szCs w:val="24"/>
          <w:shd w:val="clear" w:color="auto" w:fill="FFFFFF"/>
          <w:lang w:eastAsia="es-MX"/>
        </w:rPr>
        <w:t xml:space="preserve">de transparencia </w:t>
      </w:r>
      <w:r w:rsidRPr="0028229A">
        <w:rPr>
          <w:rFonts w:ascii="Arial" w:eastAsia="Times New Roman" w:hAnsi="Arial" w:cs="Arial"/>
          <w:color w:val="121213"/>
          <w:sz w:val="24"/>
          <w:szCs w:val="24"/>
          <w:shd w:val="clear" w:color="auto" w:fill="FFFFFF"/>
          <w:lang w:eastAsia="es-MX"/>
        </w:rPr>
        <w:t xml:space="preserve">de todos los sujetos obliigados, </w:t>
      </w:r>
      <w:r w:rsidR="009151A5" w:rsidRPr="0028229A">
        <w:rPr>
          <w:rFonts w:ascii="Arial" w:eastAsia="Times New Roman" w:hAnsi="Arial" w:cs="Arial"/>
          <w:color w:val="121213"/>
          <w:sz w:val="24"/>
          <w:szCs w:val="24"/>
          <w:shd w:val="clear" w:color="auto" w:fill="FFFFFF"/>
          <w:lang w:eastAsia="es-MX"/>
        </w:rPr>
        <w:t xml:space="preserve">se evitaría </w:t>
      </w:r>
      <w:r w:rsidRPr="0028229A">
        <w:rPr>
          <w:rFonts w:ascii="Arial" w:eastAsia="Times New Roman" w:hAnsi="Arial" w:cs="Arial"/>
          <w:color w:val="121213"/>
          <w:sz w:val="24"/>
          <w:szCs w:val="24"/>
          <w:shd w:val="clear" w:color="auto" w:fill="FFFFFF"/>
          <w:lang w:eastAsia="es-MX"/>
        </w:rPr>
        <w:t>el</w:t>
      </w:r>
      <w:r w:rsidR="009151A5" w:rsidRPr="0028229A">
        <w:rPr>
          <w:rFonts w:ascii="Arial" w:eastAsia="Times New Roman" w:hAnsi="Arial" w:cs="Arial"/>
          <w:color w:val="121213"/>
          <w:sz w:val="24"/>
          <w:szCs w:val="24"/>
          <w:shd w:val="clear" w:color="auto" w:fill="FFFFFF"/>
          <w:lang w:eastAsia="es-MX"/>
        </w:rPr>
        <w:t xml:space="preserve"> desvío </w:t>
      </w:r>
      <w:r w:rsidRPr="0028229A">
        <w:rPr>
          <w:rFonts w:ascii="Arial" w:eastAsia="Times New Roman" w:hAnsi="Arial" w:cs="Arial"/>
          <w:color w:val="121213"/>
          <w:sz w:val="24"/>
          <w:szCs w:val="24"/>
          <w:shd w:val="clear" w:color="auto" w:fill="FFFFFF"/>
          <w:lang w:eastAsia="es-MX"/>
        </w:rPr>
        <w:t>de cuantiosos recursos públicos hacia fines indeterminados, al tiempo que s</w:t>
      </w:r>
      <w:r w:rsidR="009151A5" w:rsidRPr="0028229A">
        <w:rPr>
          <w:rFonts w:ascii="Arial" w:eastAsia="Times New Roman" w:hAnsi="Arial" w:cs="Arial"/>
          <w:color w:val="121213"/>
          <w:sz w:val="24"/>
          <w:szCs w:val="24"/>
          <w:shd w:val="clear" w:color="auto" w:fill="FFFFFF"/>
          <w:lang w:eastAsia="es-MX"/>
        </w:rPr>
        <w:t xml:space="preserve">e inhibiría la </w:t>
      </w:r>
      <w:r w:rsidRPr="0028229A">
        <w:rPr>
          <w:rFonts w:ascii="Arial" w:eastAsia="Times New Roman" w:hAnsi="Arial" w:cs="Arial"/>
          <w:color w:val="121213"/>
          <w:sz w:val="24"/>
          <w:szCs w:val="24"/>
          <w:shd w:val="clear" w:color="auto" w:fill="FFFFFF"/>
          <w:lang w:eastAsia="es-MX"/>
        </w:rPr>
        <w:t xml:space="preserve">extendida </w:t>
      </w:r>
      <w:r w:rsidR="009151A5" w:rsidRPr="0028229A">
        <w:rPr>
          <w:rFonts w:ascii="Arial" w:eastAsia="Times New Roman" w:hAnsi="Arial" w:cs="Arial"/>
          <w:color w:val="121213"/>
          <w:sz w:val="24"/>
          <w:szCs w:val="24"/>
          <w:shd w:val="clear" w:color="auto" w:fill="FFFFFF"/>
          <w:lang w:eastAsia="es-MX"/>
        </w:rPr>
        <w:t xml:space="preserve">práctica </w:t>
      </w:r>
      <w:r w:rsidRPr="0028229A">
        <w:rPr>
          <w:rFonts w:ascii="Arial" w:eastAsia="Times New Roman" w:hAnsi="Arial" w:cs="Arial"/>
          <w:color w:val="121213"/>
          <w:sz w:val="24"/>
          <w:szCs w:val="24"/>
          <w:shd w:val="clear" w:color="auto" w:fill="FFFFFF"/>
          <w:lang w:eastAsia="es-MX"/>
        </w:rPr>
        <w:t xml:space="preserve">en el sector público de México de </w:t>
      </w:r>
      <w:r w:rsidR="0010124C" w:rsidRPr="0028229A">
        <w:rPr>
          <w:rFonts w:ascii="Arial" w:eastAsia="Times New Roman" w:hAnsi="Arial" w:cs="Arial"/>
          <w:color w:val="121213"/>
          <w:sz w:val="24"/>
          <w:szCs w:val="24"/>
          <w:shd w:val="clear" w:color="auto" w:fill="FFFFFF"/>
          <w:lang w:eastAsia="es-MX"/>
        </w:rPr>
        <w:t>acumula</w:t>
      </w:r>
      <w:r w:rsidR="009151A5" w:rsidRPr="0028229A">
        <w:rPr>
          <w:rFonts w:ascii="Arial" w:eastAsia="Times New Roman" w:hAnsi="Arial" w:cs="Arial"/>
          <w:color w:val="121213"/>
          <w:sz w:val="24"/>
          <w:szCs w:val="24"/>
          <w:shd w:val="clear" w:color="auto" w:fill="FFFFFF"/>
          <w:lang w:eastAsia="es-MX"/>
        </w:rPr>
        <w:t>r</w:t>
      </w:r>
      <w:r w:rsidR="0010124C" w:rsidRPr="0028229A">
        <w:rPr>
          <w:rFonts w:ascii="Arial" w:eastAsia="Times New Roman" w:hAnsi="Arial" w:cs="Arial"/>
          <w:color w:val="121213"/>
          <w:sz w:val="24"/>
          <w:szCs w:val="24"/>
          <w:shd w:val="clear" w:color="auto" w:fill="FFFFFF"/>
          <w:lang w:eastAsia="es-MX"/>
        </w:rPr>
        <w:t xml:space="preserve"> disponibilidades</w:t>
      </w:r>
      <w:r w:rsidR="009151A5" w:rsidRPr="0028229A">
        <w:rPr>
          <w:rFonts w:ascii="Arial" w:eastAsia="Times New Roman" w:hAnsi="Arial" w:cs="Arial"/>
          <w:color w:val="121213"/>
          <w:sz w:val="24"/>
          <w:szCs w:val="24"/>
          <w:shd w:val="clear" w:color="auto" w:fill="FFFFFF"/>
          <w:lang w:eastAsia="es-MX"/>
        </w:rPr>
        <w:t xml:space="preserve"> en fideicomisos y mandatos análogos que no rinden cuentas.</w:t>
      </w:r>
      <w:r w:rsidR="0010124C" w:rsidRPr="0028229A">
        <w:rPr>
          <w:rFonts w:ascii="Arial" w:eastAsia="Times New Roman" w:hAnsi="Arial" w:cs="Arial"/>
          <w:color w:val="121213"/>
          <w:sz w:val="24"/>
          <w:szCs w:val="24"/>
          <w:shd w:val="clear" w:color="auto" w:fill="FFFFFF"/>
          <w:lang w:eastAsia="es-MX"/>
        </w:rPr>
        <w:t xml:space="preserve"> </w:t>
      </w:r>
    </w:p>
    <w:p w:rsidR="0010124C" w:rsidRPr="0028229A" w:rsidRDefault="0010124C" w:rsidP="0028229A">
      <w:pPr>
        <w:shd w:val="clear" w:color="auto" w:fill="FFFFFF"/>
        <w:spacing w:before="100" w:beforeAutospacing="1" w:after="100" w:afterAutospacing="1" w:line="240" w:lineRule="auto"/>
        <w:jc w:val="both"/>
        <w:rPr>
          <w:rFonts w:ascii="Arial" w:eastAsia="Times New Roman" w:hAnsi="Arial" w:cs="Arial"/>
          <w:color w:val="121213"/>
          <w:sz w:val="24"/>
          <w:szCs w:val="24"/>
          <w:shd w:val="clear" w:color="auto" w:fill="FFFFFF"/>
          <w:lang w:eastAsia="es-MX"/>
        </w:rPr>
      </w:pPr>
    </w:p>
    <w:p w:rsidR="0010124C" w:rsidRPr="0028229A" w:rsidRDefault="0010124C" w:rsidP="0028229A">
      <w:pPr>
        <w:shd w:val="clear" w:color="auto" w:fill="FFFFFF"/>
        <w:spacing w:before="100" w:beforeAutospacing="1" w:after="100" w:afterAutospacing="1" w:line="240" w:lineRule="auto"/>
        <w:jc w:val="both"/>
        <w:rPr>
          <w:rFonts w:ascii="Arial" w:eastAsia="Times New Roman" w:hAnsi="Arial" w:cs="Arial"/>
          <w:color w:val="121213"/>
          <w:sz w:val="24"/>
          <w:szCs w:val="24"/>
          <w:shd w:val="clear" w:color="auto" w:fill="FFFFFF"/>
          <w:lang w:eastAsia="es-MX"/>
        </w:rPr>
      </w:pPr>
    </w:p>
    <w:sectPr w:rsidR="0010124C" w:rsidRPr="0028229A" w:rsidSect="0010124C">
      <w:footerReference w:type="even" r:id="rId7"/>
      <w:footerReference w:type="default" r:id="rId8"/>
      <w:pgSz w:w="11900" w:h="16840"/>
      <w:pgMar w:top="1417" w:right="1701" w:bottom="1417"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9EB" w:rsidRDefault="00BA29EB">
      <w:pPr>
        <w:spacing w:after="0" w:line="240" w:lineRule="auto"/>
      </w:pPr>
      <w:r>
        <w:separator/>
      </w:r>
    </w:p>
  </w:endnote>
  <w:endnote w:type="continuationSeparator" w:id="0">
    <w:p w:rsidR="00BA29EB" w:rsidRDefault="00BA2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947" w:rsidRDefault="00241947" w:rsidP="00A5608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41947" w:rsidRDefault="0024194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947" w:rsidRDefault="00241947" w:rsidP="00A5608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C78E9">
      <w:rPr>
        <w:rStyle w:val="Nmerodepgina"/>
        <w:noProof/>
      </w:rPr>
      <w:t>1</w:t>
    </w:r>
    <w:r>
      <w:rPr>
        <w:rStyle w:val="Nmerodepgina"/>
      </w:rPr>
      <w:fldChar w:fldCharType="end"/>
    </w:r>
  </w:p>
  <w:p w:rsidR="00241947" w:rsidRDefault="002419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9EB" w:rsidRDefault="00BA29EB">
      <w:pPr>
        <w:spacing w:after="0" w:line="240" w:lineRule="auto"/>
      </w:pPr>
      <w:r>
        <w:separator/>
      </w:r>
    </w:p>
  </w:footnote>
  <w:footnote w:type="continuationSeparator" w:id="0">
    <w:p w:rsidR="00BA29EB" w:rsidRDefault="00BA29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C59"/>
    <w:rsid w:val="0000667F"/>
    <w:rsid w:val="0010124C"/>
    <w:rsid w:val="001C78E9"/>
    <w:rsid w:val="00241947"/>
    <w:rsid w:val="0028229A"/>
    <w:rsid w:val="0045699F"/>
    <w:rsid w:val="005D63BD"/>
    <w:rsid w:val="006A6C33"/>
    <w:rsid w:val="0074061D"/>
    <w:rsid w:val="009151A5"/>
    <w:rsid w:val="00927512"/>
    <w:rsid w:val="00A56084"/>
    <w:rsid w:val="00A82C59"/>
    <w:rsid w:val="00AC1E8E"/>
    <w:rsid w:val="00BA29EB"/>
    <w:rsid w:val="00BA5CBE"/>
    <w:rsid w:val="00D25205"/>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C59"/>
    <w:pPr>
      <w:spacing w:line="276" w:lineRule="auto"/>
    </w:pPr>
    <w:rPr>
      <w:rFonts w:ascii="Cambria" w:eastAsia="Cambria" w:hAnsi="Cambria" w:cs="Times New Roman"/>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0124C"/>
    <w:pPr>
      <w:autoSpaceDE w:val="0"/>
      <w:autoSpaceDN w:val="0"/>
      <w:adjustRightInd w:val="0"/>
      <w:spacing w:after="0"/>
    </w:pPr>
    <w:rPr>
      <w:rFonts w:ascii="Calibri" w:hAnsi="Calibri" w:cs="Calibri"/>
      <w:color w:val="000000"/>
      <w:lang w:val="es-MX"/>
    </w:rPr>
  </w:style>
  <w:style w:type="paragraph" w:styleId="Piedepgina">
    <w:name w:val="footer"/>
    <w:basedOn w:val="Normal"/>
    <w:link w:val="PiedepginaCar"/>
    <w:uiPriority w:val="99"/>
    <w:semiHidden/>
    <w:unhideWhenUsed/>
    <w:rsid w:val="000066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0667F"/>
    <w:rPr>
      <w:rFonts w:ascii="Cambria" w:eastAsia="Cambria" w:hAnsi="Cambria" w:cs="Times New Roman"/>
      <w:sz w:val="22"/>
      <w:szCs w:val="22"/>
      <w:lang w:val="es-MX"/>
    </w:rPr>
  </w:style>
  <w:style w:type="character" w:styleId="Nmerodepgina">
    <w:name w:val="page number"/>
    <w:basedOn w:val="Fuentedeprrafopredeter"/>
    <w:uiPriority w:val="99"/>
    <w:semiHidden/>
    <w:unhideWhenUsed/>
    <w:rsid w:val="000066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C59"/>
    <w:pPr>
      <w:spacing w:line="276" w:lineRule="auto"/>
    </w:pPr>
    <w:rPr>
      <w:rFonts w:ascii="Cambria" w:eastAsia="Cambria" w:hAnsi="Cambria" w:cs="Times New Roman"/>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0124C"/>
    <w:pPr>
      <w:autoSpaceDE w:val="0"/>
      <w:autoSpaceDN w:val="0"/>
      <w:adjustRightInd w:val="0"/>
      <w:spacing w:after="0"/>
    </w:pPr>
    <w:rPr>
      <w:rFonts w:ascii="Calibri" w:hAnsi="Calibri" w:cs="Calibri"/>
      <w:color w:val="000000"/>
      <w:lang w:val="es-MX"/>
    </w:rPr>
  </w:style>
  <w:style w:type="paragraph" w:styleId="Piedepgina">
    <w:name w:val="footer"/>
    <w:basedOn w:val="Normal"/>
    <w:link w:val="PiedepginaCar"/>
    <w:uiPriority w:val="99"/>
    <w:semiHidden/>
    <w:unhideWhenUsed/>
    <w:rsid w:val="000066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0667F"/>
    <w:rPr>
      <w:rFonts w:ascii="Cambria" w:eastAsia="Cambria" w:hAnsi="Cambria" w:cs="Times New Roman"/>
      <w:sz w:val="22"/>
      <w:szCs w:val="22"/>
      <w:lang w:val="es-MX"/>
    </w:rPr>
  </w:style>
  <w:style w:type="character" w:styleId="Nmerodepgina">
    <w:name w:val="page number"/>
    <w:basedOn w:val="Fuentedeprrafopredeter"/>
    <w:uiPriority w:val="99"/>
    <w:semiHidden/>
    <w:unhideWhenUsed/>
    <w:rsid w:val="00006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560</Words>
  <Characters>3084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Héctor Carriedo Saenz</dc:creator>
  <cp:lastModifiedBy>Toshiba</cp:lastModifiedBy>
  <cp:revision>2</cp:revision>
  <dcterms:created xsi:type="dcterms:W3CDTF">2013-04-29T21:27:00Z</dcterms:created>
  <dcterms:modified xsi:type="dcterms:W3CDTF">2013-04-29T21:27:00Z</dcterms:modified>
</cp:coreProperties>
</file>