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7D" w:rsidRPr="00D652FB" w:rsidRDefault="00405AF0" w:rsidP="00405AF0">
      <w:pPr>
        <w:spacing w:after="240" w:line="240" w:lineRule="auto"/>
        <w:jc w:val="center"/>
        <w:rPr>
          <w:rFonts w:ascii="Arial" w:hAnsi="Arial" w:cs="Arial"/>
          <w:b/>
          <w:sz w:val="24"/>
        </w:rPr>
      </w:pPr>
      <w:r w:rsidRPr="00D652FB">
        <w:rPr>
          <w:rFonts w:ascii="Arial" w:hAnsi="Arial" w:cs="Arial"/>
          <w:b/>
          <w:sz w:val="24"/>
        </w:rPr>
        <w:t>SÉPTIMO FORO DE ANÁLISIS</w:t>
      </w:r>
      <w:r w:rsidR="00E856A9">
        <w:rPr>
          <w:rFonts w:ascii="Arial" w:hAnsi="Arial" w:cs="Arial"/>
          <w:b/>
          <w:sz w:val="24"/>
        </w:rPr>
        <w:t xml:space="preserve"> NACIONAL</w:t>
      </w:r>
      <w:r w:rsidRPr="00D652FB">
        <w:rPr>
          <w:rFonts w:ascii="Arial" w:hAnsi="Arial" w:cs="Arial"/>
          <w:b/>
          <w:sz w:val="24"/>
        </w:rPr>
        <w:t>: LA REFORMA CONSTITUCIONAL EN MATERIA DE TRANSPARENCIA Y ACCESO A LA INFORMACIÓN PÚBLICA EN MÉXICO</w:t>
      </w:r>
    </w:p>
    <w:p w:rsidR="00405AF0" w:rsidRDefault="00C76DF7" w:rsidP="00C76DF7">
      <w:pPr>
        <w:spacing w:after="24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Mtro. Oscar M. Guerra Ford</w:t>
      </w:r>
    </w:p>
    <w:p w:rsidR="00405AF0" w:rsidRDefault="00405AF0" w:rsidP="00405AF0">
      <w:pPr>
        <w:spacing w:after="240" w:line="360" w:lineRule="auto"/>
        <w:ind w:left="1276" w:hanging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Tema:</w:t>
      </w:r>
      <w:r>
        <w:rPr>
          <w:rFonts w:ascii="Arial" w:hAnsi="Arial" w:cs="Arial"/>
          <w:sz w:val="24"/>
        </w:rPr>
        <w:tab/>
      </w:r>
      <w:r w:rsidRPr="00405AF0">
        <w:rPr>
          <w:rFonts w:ascii="Arial" w:hAnsi="Arial" w:cs="Arial"/>
          <w:sz w:val="24"/>
        </w:rPr>
        <w:t xml:space="preserve">Características de la reforma en materia de transparencia y acceso a </w:t>
      </w:r>
      <w:bookmarkStart w:id="0" w:name="_GoBack"/>
      <w:bookmarkEnd w:id="0"/>
      <w:r w:rsidRPr="00405AF0">
        <w:rPr>
          <w:rFonts w:ascii="Arial" w:hAnsi="Arial" w:cs="Arial"/>
          <w:sz w:val="24"/>
        </w:rPr>
        <w:t>la información</w:t>
      </w:r>
      <w:r>
        <w:rPr>
          <w:rFonts w:ascii="Arial" w:hAnsi="Arial" w:cs="Arial"/>
          <w:sz w:val="24"/>
        </w:rPr>
        <w:t xml:space="preserve"> </w:t>
      </w:r>
      <w:r w:rsidRPr="00405AF0">
        <w:rPr>
          <w:rFonts w:ascii="Arial" w:hAnsi="Arial" w:cs="Arial"/>
          <w:sz w:val="24"/>
        </w:rPr>
        <w:t>pública y sus implicaciones en las entidades federativas y órganos garantes</w:t>
      </w:r>
      <w:r>
        <w:rPr>
          <w:rFonts w:ascii="Arial" w:hAnsi="Arial" w:cs="Arial"/>
          <w:sz w:val="24"/>
        </w:rPr>
        <w:t>.</w:t>
      </w:r>
    </w:p>
    <w:p w:rsidR="00405AF0" w:rsidRDefault="00405AF0" w:rsidP="00405AF0">
      <w:pPr>
        <w:spacing w:after="240" w:line="360" w:lineRule="auto"/>
        <w:ind w:left="1276" w:hanging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Subtema:</w:t>
      </w:r>
      <w:r>
        <w:rPr>
          <w:rFonts w:ascii="Arial" w:hAnsi="Arial" w:cs="Arial"/>
          <w:sz w:val="24"/>
        </w:rPr>
        <w:tab/>
      </w:r>
      <w:r w:rsidR="00F01E75" w:rsidRPr="00F01E75">
        <w:rPr>
          <w:rFonts w:ascii="Arial" w:hAnsi="Arial" w:cs="Arial"/>
          <w:sz w:val="24"/>
        </w:rPr>
        <w:t>Relación entre organismos garantes: el federal y los de las entidades federativas</w:t>
      </w:r>
    </w:p>
    <w:p w:rsidR="0088155F" w:rsidRDefault="004622F7" w:rsidP="00193C5C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reformas constitucionales</w:t>
      </w:r>
      <w:r w:rsidR="00F01E7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proceso </w:t>
      </w:r>
      <w:r w:rsidR="00193C5C" w:rsidRPr="00193C5C">
        <w:rPr>
          <w:rFonts w:ascii="Arial" w:hAnsi="Arial" w:cs="Arial"/>
          <w:sz w:val="24"/>
        </w:rPr>
        <w:t>modifica</w:t>
      </w:r>
      <w:r w:rsidR="00C92E27">
        <w:rPr>
          <w:rFonts w:ascii="Arial" w:hAnsi="Arial" w:cs="Arial"/>
          <w:sz w:val="24"/>
        </w:rPr>
        <w:t>rán</w:t>
      </w:r>
      <w:r w:rsidR="00193C5C" w:rsidRPr="00193C5C">
        <w:rPr>
          <w:rFonts w:ascii="Arial" w:hAnsi="Arial" w:cs="Arial"/>
          <w:sz w:val="24"/>
        </w:rPr>
        <w:t xml:space="preserve"> sustancialmente el diseño normativo institucional de</w:t>
      </w:r>
      <w:r w:rsidR="009B5588">
        <w:rPr>
          <w:rFonts w:ascii="Arial" w:hAnsi="Arial" w:cs="Arial"/>
          <w:sz w:val="24"/>
        </w:rPr>
        <w:t xml:space="preserve"> los</w:t>
      </w:r>
      <w:r w:rsidR="00193C5C" w:rsidRPr="00193C5C">
        <w:rPr>
          <w:rFonts w:ascii="Arial" w:hAnsi="Arial" w:cs="Arial"/>
          <w:sz w:val="24"/>
        </w:rPr>
        <w:t xml:space="preserve"> organismos </w:t>
      </w:r>
      <w:r w:rsidR="009B5588">
        <w:rPr>
          <w:rFonts w:ascii="Arial" w:hAnsi="Arial" w:cs="Arial"/>
          <w:sz w:val="24"/>
        </w:rPr>
        <w:t xml:space="preserve">garantes de transparencia </w:t>
      </w:r>
      <w:r w:rsidR="00193C5C" w:rsidRPr="00193C5C">
        <w:rPr>
          <w:rFonts w:ascii="Arial" w:hAnsi="Arial" w:cs="Arial"/>
          <w:sz w:val="24"/>
        </w:rPr>
        <w:t>y los dota</w:t>
      </w:r>
      <w:r w:rsidR="00C92E27">
        <w:rPr>
          <w:rFonts w:ascii="Arial" w:hAnsi="Arial" w:cs="Arial"/>
          <w:sz w:val="24"/>
        </w:rPr>
        <w:t>rá</w:t>
      </w:r>
      <w:r w:rsidR="00193C5C" w:rsidRPr="00193C5C">
        <w:rPr>
          <w:rFonts w:ascii="Arial" w:hAnsi="Arial" w:cs="Arial"/>
          <w:sz w:val="24"/>
        </w:rPr>
        <w:t xml:space="preserve"> de instrumentos legales sólidos que materializ</w:t>
      </w:r>
      <w:r w:rsidR="00111088">
        <w:rPr>
          <w:rFonts w:ascii="Arial" w:hAnsi="Arial" w:cs="Arial"/>
          <w:sz w:val="24"/>
        </w:rPr>
        <w:t>an su autonomía constitucional.</w:t>
      </w:r>
    </w:p>
    <w:p w:rsidR="00141C87" w:rsidRDefault="004622F7" w:rsidP="00193C5C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obstante, u</w:t>
      </w:r>
      <w:r w:rsidR="00713B6E">
        <w:rPr>
          <w:rFonts w:ascii="Arial" w:hAnsi="Arial" w:cs="Arial"/>
          <w:sz w:val="24"/>
        </w:rPr>
        <w:t xml:space="preserve">na de las consecuencias de este nuevo diseño normativo, será el establecimiento de una relación </w:t>
      </w:r>
      <w:r w:rsidR="004D7095">
        <w:rPr>
          <w:rFonts w:ascii="Arial" w:hAnsi="Arial" w:cs="Arial"/>
          <w:sz w:val="24"/>
        </w:rPr>
        <w:t xml:space="preserve">institucional entre el nuevo </w:t>
      </w:r>
      <w:r w:rsidR="00DF4C34">
        <w:rPr>
          <w:rFonts w:ascii="Arial" w:hAnsi="Arial" w:cs="Arial"/>
          <w:sz w:val="24"/>
        </w:rPr>
        <w:t xml:space="preserve">organismo </w:t>
      </w:r>
      <w:r>
        <w:rPr>
          <w:rFonts w:ascii="Arial" w:hAnsi="Arial" w:cs="Arial"/>
          <w:sz w:val="24"/>
        </w:rPr>
        <w:t xml:space="preserve">autónomo </w:t>
      </w:r>
      <w:r w:rsidR="00DF4C34">
        <w:rPr>
          <w:rFonts w:ascii="Arial" w:hAnsi="Arial" w:cs="Arial"/>
          <w:sz w:val="24"/>
        </w:rPr>
        <w:t>garante federal (</w:t>
      </w:r>
      <w:r w:rsidR="004D7095">
        <w:rPr>
          <w:rFonts w:ascii="Arial" w:hAnsi="Arial" w:cs="Arial"/>
          <w:sz w:val="24"/>
        </w:rPr>
        <w:t>IFAI</w:t>
      </w:r>
      <w:r w:rsidR="00DF4C34">
        <w:rPr>
          <w:rFonts w:ascii="Arial" w:hAnsi="Arial" w:cs="Arial"/>
          <w:sz w:val="24"/>
        </w:rPr>
        <w:t>)</w:t>
      </w:r>
      <w:r w:rsidR="004D7095">
        <w:rPr>
          <w:rFonts w:ascii="Arial" w:hAnsi="Arial" w:cs="Arial"/>
          <w:sz w:val="24"/>
        </w:rPr>
        <w:t xml:space="preserve"> y los organismos </w:t>
      </w:r>
      <w:r>
        <w:rPr>
          <w:rFonts w:ascii="Arial" w:hAnsi="Arial" w:cs="Arial"/>
          <w:sz w:val="24"/>
        </w:rPr>
        <w:t xml:space="preserve">autónomos </w:t>
      </w:r>
      <w:r w:rsidR="004D7095">
        <w:rPr>
          <w:rFonts w:ascii="Arial" w:hAnsi="Arial" w:cs="Arial"/>
          <w:sz w:val="24"/>
        </w:rPr>
        <w:t xml:space="preserve">garantes de las entidades federativas. </w:t>
      </w:r>
    </w:p>
    <w:p w:rsidR="00111088" w:rsidRDefault="00141C87" w:rsidP="00193C5C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Cabe aclarar que h</w:t>
      </w:r>
      <w:r w:rsidR="004D7095">
        <w:rPr>
          <w:rFonts w:ascii="Arial" w:hAnsi="Arial" w:cs="Arial"/>
          <w:sz w:val="24"/>
        </w:rPr>
        <w:t xml:space="preserve">asta ahora todos los órganos de transparencia han actuado </w:t>
      </w:r>
      <w:r>
        <w:rPr>
          <w:rFonts w:ascii="Arial" w:hAnsi="Arial" w:cs="Arial"/>
          <w:sz w:val="24"/>
        </w:rPr>
        <w:t xml:space="preserve">de manera </w:t>
      </w:r>
      <w:r w:rsidR="004D7095">
        <w:rPr>
          <w:rFonts w:ascii="Arial" w:hAnsi="Arial" w:cs="Arial"/>
          <w:sz w:val="24"/>
        </w:rPr>
        <w:t>independiente.</w:t>
      </w:r>
      <w:r>
        <w:rPr>
          <w:rFonts w:ascii="Arial" w:hAnsi="Arial" w:cs="Arial"/>
          <w:sz w:val="24"/>
        </w:rPr>
        <w:t xml:space="preserve"> Las relaciones que se han </w:t>
      </w:r>
      <w:r w:rsidR="00C92E27">
        <w:rPr>
          <w:rFonts w:ascii="Arial" w:hAnsi="Arial" w:cs="Arial"/>
          <w:sz w:val="24"/>
        </w:rPr>
        <w:t>generado</w:t>
      </w:r>
      <w:r>
        <w:rPr>
          <w:rFonts w:ascii="Arial" w:hAnsi="Arial" w:cs="Arial"/>
          <w:sz w:val="24"/>
        </w:rPr>
        <w:t xml:space="preserve"> obedecen a la voluntad de los comisionados o consejeros para compartir experiencias sobre el trabajo realizado e intercambiar puntos de vista respecto de algunos temas de interés común; esto </w:t>
      </w:r>
      <w:r w:rsidR="00C92E27">
        <w:rPr>
          <w:rFonts w:ascii="Arial" w:hAnsi="Arial" w:cs="Arial"/>
          <w:sz w:val="24"/>
        </w:rPr>
        <w:t xml:space="preserve">en el marco </w:t>
      </w:r>
      <w:r>
        <w:rPr>
          <w:rFonts w:ascii="Arial" w:hAnsi="Arial" w:cs="Arial"/>
          <w:sz w:val="24"/>
        </w:rPr>
        <w:t>de la COMAIP.</w:t>
      </w:r>
    </w:p>
    <w:p w:rsidR="00141C87" w:rsidRDefault="00C92E27" w:rsidP="00193C5C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partir de </w:t>
      </w:r>
      <w:r w:rsidR="00DF4C34">
        <w:rPr>
          <w:rFonts w:ascii="Arial" w:hAnsi="Arial" w:cs="Arial"/>
          <w:sz w:val="24"/>
        </w:rPr>
        <w:t xml:space="preserve">la reforma, el IFAI actuará como una segunda instancia para los </w:t>
      </w:r>
      <w:r w:rsidR="00191DCA">
        <w:rPr>
          <w:rFonts w:ascii="Arial" w:hAnsi="Arial" w:cs="Arial"/>
          <w:sz w:val="24"/>
        </w:rPr>
        <w:t>solicitantes inconformes con la</w:t>
      </w:r>
      <w:r>
        <w:rPr>
          <w:rFonts w:ascii="Arial" w:hAnsi="Arial" w:cs="Arial"/>
          <w:sz w:val="24"/>
        </w:rPr>
        <w:t xml:space="preserve">s resoluciones que emitan </w:t>
      </w:r>
      <w:r w:rsidR="00191DCA">
        <w:rPr>
          <w:rFonts w:ascii="Arial" w:hAnsi="Arial" w:cs="Arial"/>
          <w:sz w:val="24"/>
        </w:rPr>
        <w:t xml:space="preserve">los organismos garantes locales. El texto </w:t>
      </w:r>
      <w:r>
        <w:rPr>
          <w:rFonts w:ascii="Arial" w:hAnsi="Arial" w:cs="Arial"/>
          <w:sz w:val="24"/>
        </w:rPr>
        <w:t>que se propone es el siguiente:</w:t>
      </w:r>
    </w:p>
    <w:p w:rsidR="00191DCA" w:rsidRPr="00191DCA" w:rsidRDefault="00191DCA" w:rsidP="00191DCA">
      <w:pPr>
        <w:spacing w:after="240" w:line="360" w:lineRule="auto"/>
        <w:ind w:left="709"/>
        <w:jc w:val="both"/>
        <w:rPr>
          <w:rFonts w:ascii="Arial" w:hAnsi="Arial" w:cs="Arial"/>
          <w:i/>
          <w:sz w:val="24"/>
        </w:rPr>
      </w:pPr>
      <w:r w:rsidRPr="00191DCA">
        <w:rPr>
          <w:rFonts w:ascii="Arial" w:hAnsi="Arial" w:cs="Arial"/>
          <w:i/>
          <w:sz w:val="24"/>
        </w:rPr>
        <w:t xml:space="preserve">También conocerá de los recursos que interpongan los particulares respecto de las resoluciones de los organismos autónomos especializados de los estados y el Distrito Federal </w:t>
      </w:r>
      <w:r w:rsidRPr="002633BA">
        <w:rPr>
          <w:rFonts w:ascii="Arial" w:hAnsi="Arial" w:cs="Arial"/>
          <w:i/>
          <w:sz w:val="24"/>
        </w:rPr>
        <w:t xml:space="preserve">que determinen la reserva de la </w:t>
      </w:r>
      <w:r w:rsidRPr="002633BA">
        <w:rPr>
          <w:rFonts w:ascii="Arial" w:hAnsi="Arial" w:cs="Arial"/>
          <w:i/>
          <w:sz w:val="24"/>
        </w:rPr>
        <w:lastRenderedPageBreak/>
        <w:t>información, en los términos que establezca la Ley</w:t>
      </w:r>
      <w:r w:rsidR="00C92E27" w:rsidRPr="002633BA">
        <w:rPr>
          <w:rFonts w:ascii="Arial" w:hAnsi="Arial" w:cs="Arial"/>
          <w:i/>
          <w:sz w:val="24"/>
        </w:rPr>
        <w:t xml:space="preserve"> </w:t>
      </w:r>
      <w:r w:rsidR="00C92E27" w:rsidRPr="00E74A96">
        <w:rPr>
          <w:rFonts w:ascii="Arial" w:hAnsi="Arial" w:cs="Arial"/>
          <w:i/>
          <w:color w:val="1F4E79" w:themeColor="accent1" w:themeShade="80"/>
          <w:sz w:val="24"/>
        </w:rPr>
        <w:t>(</w:t>
      </w:r>
      <w:r w:rsidR="00420ADB" w:rsidRPr="00E74A96">
        <w:rPr>
          <w:rFonts w:ascii="Arial" w:hAnsi="Arial" w:cs="Arial"/>
          <w:i/>
          <w:color w:val="1F4E79" w:themeColor="accent1" w:themeShade="80"/>
          <w:sz w:val="24"/>
        </w:rPr>
        <w:t>que determinen la reserva, confidencialidad, inexistencia o negativa de la información)</w:t>
      </w:r>
      <w:r w:rsidR="00420ADB">
        <w:rPr>
          <w:rFonts w:ascii="Arial" w:hAnsi="Arial" w:cs="Arial"/>
          <w:i/>
          <w:sz w:val="24"/>
        </w:rPr>
        <w:t>.</w:t>
      </w:r>
    </w:p>
    <w:p w:rsidR="00420ADB" w:rsidRDefault="00420ADB" w:rsidP="00193C5C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texto entre paréntesis se refiere a una </w:t>
      </w:r>
      <w:r w:rsidR="00A15631">
        <w:rPr>
          <w:rFonts w:ascii="Arial" w:hAnsi="Arial" w:cs="Arial"/>
          <w:sz w:val="24"/>
        </w:rPr>
        <w:t>corrección que remitió el Senado posteriormente y que todavía no se sabe si será integrado a la reforma.</w:t>
      </w:r>
    </w:p>
    <w:p w:rsidR="004D7095" w:rsidRDefault="00420ADB" w:rsidP="00193C5C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el momento</w:t>
      </w:r>
      <w:r w:rsidR="00191DCA">
        <w:rPr>
          <w:rFonts w:ascii="Arial" w:hAnsi="Arial" w:cs="Arial"/>
          <w:sz w:val="24"/>
        </w:rPr>
        <w:t>, también se contempla la capacidad del IFAI para atraer recursos de revisión de interés o trascendencia nacional. De acuerdo con la última minuta que se conoce, el texto quedaría de la siguiente manera:</w:t>
      </w:r>
    </w:p>
    <w:p w:rsidR="00191DCA" w:rsidRPr="00191DCA" w:rsidRDefault="00191DCA" w:rsidP="00191DCA">
      <w:pPr>
        <w:spacing w:after="240" w:line="360" w:lineRule="auto"/>
        <w:ind w:left="709"/>
        <w:jc w:val="both"/>
        <w:rPr>
          <w:rFonts w:ascii="Arial" w:hAnsi="Arial" w:cs="Arial"/>
          <w:i/>
          <w:sz w:val="24"/>
        </w:rPr>
      </w:pPr>
      <w:r w:rsidRPr="00191DCA">
        <w:rPr>
          <w:rFonts w:ascii="Arial" w:hAnsi="Arial" w:cs="Arial"/>
          <w:i/>
          <w:sz w:val="24"/>
        </w:rPr>
        <w:t>El organismo garante federal de oficio o a petición fundada del organismo garante equivalente del estado o del Distrito Federal, podrá conocer de los recursos de revisión que por su interés y trascendencia así lo ameriten.</w:t>
      </w:r>
    </w:p>
    <w:p w:rsidR="00191DCA" w:rsidRDefault="00882893" w:rsidP="00193C5C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191DCA" w:rsidRPr="00191DCA">
        <w:rPr>
          <w:rFonts w:ascii="Arial" w:hAnsi="Arial" w:cs="Arial"/>
          <w:sz w:val="24"/>
        </w:rPr>
        <w:t xml:space="preserve">a conveniencia de que el IFAI </w:t>
      </w:r>
      <w:r w:rsidR="009723E4">
        <w:rPr>
          <w:rFonts w:ascii="Arial" w:hAnsi="Arial" w:cs="Arial"/>
          <w:sz w:val="24"/>
        </w:rPr>
        <w:t>esté facultado para</w:t>
      </w:r>
      <w:r w:rsidR="00191DCA" w:rsidRPr="00191DCA">
        <w:rPr>
          <w:rFonts w:ascii="Arial" w:hAnsi="Arial" w:cs="Arial"/>
          <w:sz w:val="24"/>
        </w:rPr>
        <w:t xml:space="preserve"> atraer recursos de revisión de manera oficiosa o a petición del organismo local </w:t>
      </w:r>
      <w:r w:rsidR="009534DA">
        <w:rPr>
          <w:rFonts w:ascii="Arial" w:hAnsi="Arial" w:cs="Arial"/>
          <w:sz w:val="24"/>
        </w:rPr>
        <w:t xml:space="preserve">está todavía en </w:t>
      </w:r>
      <w:r w:rsidR="009723E4">
        <w:rPr>
          <w:rFonts w:ascii="Arial" w:hAnsi="Arial" w:cs="Arial"/>
          <w:sz w:val="24"/>
        </w:rPr>
        <w:t>entredicho</w:t>
      </w:r>
      <w:r w:rsidR="009534DA">
        <w:rPr>
          <w:rFonts w:ascii="Arial" w:hAnsi="Arial" w:cs="Arial"/>
          <w:sz w:val="24"/>
        </w:rPr>
        <w:t>. Sabemos que</w:t>
      </w:r>
      <w:r>
        <w:rPr>
          <w:rFonts w:ascii="Arial" w:hAnsi="Arial" w:cs="Arial"/>
          <w:sz w:val="24"/>
        </w:rPr>
        <w:t>,</w:t>
      </w:r>
      <w:r w:rsidR="00191DCA" w:rsidRPr="00191DCA">
        <w:rPr>
          <w:rFonts w:ascii="Arial" w:hAnsi="Arial" w:cs="Arial"/>
          <w:sz w:val="24"/>
        </w:rPr>
        <w:t xml:space="preserve"> de oficio</w:t>
      </w:r>
      <w:r>
        <w:rPr>
          <w:rFonts w:ascii="Arial" w:hAnsi="Arial" w:cs="Arial"/>
          <w:sz w:val="24"/>
        </w:rPr>
        <w:t>, el IFAI</w:t>
      </w:r>
      <w:r w:rsidR="00191DCA" w:rsidRPr="00191DCA">
        <w:rPr>
          <w:rFonts w:ascii="Arial" w:hAnsi="Arial" w:cs="Arial"/>
          <w:sz w:val="24"/>
        </w:rPr>
        <w:t xml:space="preserve"> tendría que revisar más de 16 mil recursos</w:t>
      </w:r>
      <w:r>
        <w:rPr>
          <w:rFonts w:ascii="Arial" w:hAnsi="Arial" w:cs="Arial"/>
          <w:sz w:val="24"/>
        </w:rPr>
        <w:t xml:space="preserve"> de todo el país</w:t>
      </w:r>
      <w:r w:rsidR="00191DCA" w:rsidRPr="00191DCA">
        <w:rPr>
          <w:rFonts w:ascii="Arial" w:hAnsi="Arial" w:cs="Arial"/>
          <w:sz w:val="24"/>
        </w:rPr>
        <w:t xml:space="preserve"> para determinar cuál</w:t>
      </w:r>
      <w:r w:rsidR="009534DA">
        <w:rPr>
          <w:rFonts w:ascii="Arial" w:hAnsi="Arial" w:cs="Arial"/>
          <w:sz w:val="24"/>
        </w:rPr>
        <w:t>es</w:t>
      </w:r>
      <w:r w:rsidR="00191DCA" w:rsidRPr="00191DCA">
        <w:rPr>
          <w:rFonts w:ascii="Arial" w:hAnsi="Arial" w:cs="Arial"/>
          <w:sz w:val="24"/>
        </w:rPr>
        <w:t xml:space="preserve"> </w:t>
      </w:r>
      <w:r w:rsidR="00E74A96">
        <w:rPr>
          <w:rFonts w:ascii="Arial" w:hAnsi="Arial" w:cs="Arial"/>
          <w:sz w:val="24"/>
        </w:rPr>
        <w:t xml:space="preserve">de éstos </w:t>
      </w:r>
      <w:r w:rsidR="00191DCA" w:rsidRPr="00191DCA">
        <w:rPr>
          <w:rFonts w:ascii="Arial" w:hAnsi="Arial" w:cs="Arial"/>
          <w:sz w:val="24"/>
        </w:rPr>
        <w:t>sería</w:t>
      </w:r>
      <w:r w:rsidR="009534DA">
        <w:rPr>
          <w:rFonts w:ascii="Arial" w:hAnsi="Arial" w:cs="Arial"/>
          <w:sz w:val="24"/>
        </w:rPr>
        <w:t>n de interés nacional.</w:t>
      </w:r>
      <w:r>
        <w:rPr>
          <w:rFonts w:ascii="Arial" w:hAnsi="Arial" w:cs="Arial"/>
          <w:sz w:val="24"/>
        </w:rPr>
        <w:t xml:space="preserve"> </w:t>
      </w:r>
      <w:r w:rsidR="009723E4">
        <w:rPr>
          <w:rFonts w:ascii="Arial" w:hAnsi="Arial" w:cs="Arial"/>
          <w:sz w:val="24"/>
        </w:rPr>
        <w:t>Y</w:t>
      </w:r>
      <w:r w:rsidR="009534DA">
        <w:rPr>
          <w:rFonts w:ascii="Arial" w:hAnsi="Arial" w:cs="Arial"/>
          <w:sz w:val="24"/>
        </w:rPr>
        <w:t>,</w:t>
      </w:r>
      <w:r w:rsidR="00191DCA" w:rsidRPr="00191DCA">
        <w:rPr>
          <w:rFonts w:ascii="Arial" w:hAnsi="Arial" w:cs="Arial"/>
          <w:sz w:val="24"/>
        </w:rPr>
        <w:t xml:space="preserve"> en el caso de que un organismo local lo solicitara, </w:t>
      </w:r>
      <w:r w:rsidR="009534DA">
        <w:rPr>
          <w:rFonts w:ascii="Arial" w:hAnsi="Arial" w:cs="Arial"/>
          <w:sz w:val="24"/>
        </w:rPr>
        <w:t xml:space="preserve">podría interpretarse como una </w:t>
      </w:r>
      <w:r w:rsidR="00191DCA" w:rsidRPr="00191DCA">
        <w:rPr>
          <w:rFonts w:ascii="Arial" w:hAnsi="Arial" w:cs="Arial"/>
          <w:sz w:val="24"/>
        </w:rPr>
        <w:t>eva</w:t>
      </w:r>
      <w:r w:rsidR="009534DA">
        <w:rPr>
          <w:rFonts w:ascii="Arial" w:hAnsi="Arial" w:cs="Arial"/>
          <w:sz w:val="24"/>
        </w:rPr>
        <w:t>sión de su</w:t>
      </w:r>
      <w:r w:rsidR="00191DCA" w:rsidRPr="00191DCA">
        <w:rPr>
          <w:rFonts w:ascii="Arial" w:hAnsi="Arial" w:cs="Arial"/>
          <w:sz w:val="24"/>
        </w:rPr>
        <w:t xml:space="preserve"> responsabilidad como garante de los derechos que tutela.</w:t>
      </w:r>
    </w:p>
    <w:p w:rsidR="00191DCA" w:rsidRDefault="009C5E3C" w:rsidP="00193C5C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cualquiera de los casos, </w:t>
      </w:r>
      <w:r w:rsidR="00EA0418">
        <w:rPr>
          <w:rFonts w:ascii="Arial" w:hAnsi="Arial" w:cs="Arial"/>
          <w:sz w:val="24"/>
        </w:rPr>
        <w:t xml:space="preserve">habrá una </w:t>
      </w:r>
      <w:r w:rsidR="00DD3359">
        <w:rPr>
          <w:rFonts w:ascii="Arial" w:hAnsi="Arial" w:cs="Arial"/>
          <w:sz w:val="24"/>
        </w:rPr>
        <w:t xml:space="preserve">relación subordinada de los organismos garantes de las entidades federativas </w:t>
      </w:r>
      <w:r w:rsidR="00D5017B">
        <w:rPr>
          <w:rFonts w:ascii="Arial" w:hAnsi="Arial" w:cs="Arial"/>
          <w:sz w:val="24"/>
        </w:rPr>
        <w:t xml:space="preserve">hacia el </w:t>
      </w:r>
      <w:r w:rsidR="009C4223">
        <w:rPr>
          <w:rFonts w:ascii="Arial" w:hAnsi="Arial" w:cs="Arial"/>
          <w:sz w:val="24"/>
        </w:rPr>
        <w:t>IFAI, toda vez de que este último podrá revisar las decisiones de los otros.</w:t>
      </w:r>
    </w:p>
    <w:p w:rsidR="00694712" w:rsidRDefault="009C4223" w:rsidP="00405AF0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Esto cambia de manera significativa </w:t>
      </w:r>
      <w:r w:rsidR="00A260E3">
        <w:rPr>
          <w:rFonts w:ascii="Arial" w:hAnsi="Arial" w:cs="Arial"/>
          <w:sz w:val="24"/>
        </w:rPr>
        <w:t>la condición</w:t>
      </w:r>
      <w:r>
        <w:rPr>
          <w:rFonts w:ascii="Arial" w:hAnsi="Arial" w:cs="Arial"/>
          <w:sz w:val="24"/>
        </w:rPr>
        <w:t xml:space="preserve"> de los organismos garantes locales, porque actualmente sus resoluciones no son revisadas por una instancia administrativa, s</w:t>
      </w:r>
      <w:r w:rsidR="00A260E3">
        <w:rPr>
          <w:rFonts w:ascii="Arial" w:hAnsi="Arial" w:cs="Arial"/>
          <w:sz w:val="24"/>
        </w:rPr>
        <w:t>o</w:t>
      </w:r>
      <w:r w:rsidR="000817E9">
        <w:rPr>
          <w:rFonts w:ascii="Arial" w:hAnsi="Arial" w:cs="Arial"/>
          <w:sz w:val="24"/>
        </w:rPr>
        <w:t>lamente</w:t>
      </w:r>
      <w:r>
        <w:rPr>
          <w:rFonts w:ascii="Arial" w:hAnsi="Arial" w:cs="Arial"/>
          <w:sz w:val="24"/>
        </w:rPr>
        <w:t xml:space="preserve"> por </w:t>
      </w:r>
      <w:r w:rsidR="000817E9">
        <w:rPr>
          <w:rFonts w:ascii="Arial" w:hAnsi="Arial" w:cs="Arial"/>
          <w:sz w:val="24"/>
        </w:rPr>
        <w:t>la instancia judicial</w:t>
      </w:r>
      <w:r w:rsidR="00A260E3">
        <w:rPr>
          <w:rFonts w:ascii="Arial" w:hAnsi="Arial" w:cs="Arial"/>
          <w:sz w:val="24"/>
        </w:rPr>
        <w:t>. Por lo tanto, en su momento, se deberá analizar si estos organismos locales tendrán la posibilidad de intervenir a su favor en el proceso de deliberación del IFAI.</w:t>
      </w:r>
    </w:p>
    <w:p w:rsidR="00111088" w:rsidRDefault="00111088" w:rsidP="00405AF0">
      <w:pPr>
        <w:spacing w:after="240" w:line="360" w:lineRule="auto"/>
        <w:jc w:val="both"/>
        <w:rPr>
          <w:rFonts w:ascii="Arial" w:hAnsi="Arial" w:cs="Arial"/>
          <w:sz w:val="24"/>
        </w:rPr>
      </w:pPr>
    </w:p>
    <w:p w:rsidR="00111088" w:rsidRPr="00405AF0" w:rsidRDefault="00111088" w:rsidP="00405AF0">
      <w:pPr>
        <w:spacing w:after="240" w:line="360" w:lineRule="auto"/>
        <w:jc w:val="both"/>
        <w:rPr>
          <w:rFonts w:ascii="Arial" w:hAnsi="Arial" w:cs="Arial"/>
          <w:sz w:val="24"/>
        </w:rPr>
      </w:pPr>
    </w:p>
    <w:sectPr w:rsidR="00111088" w:rsidRPr="00405A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0023"/>
    <w:multiLevelType w:val="hybridMultilevel"/>
    <w:tmpl w:val="B4EAF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F0"/>
    <w:rsid w:val="00062814"/>
    <w:rsid w:val="000817E9"/>
    <w:rsid w:val="00081C33"/>
    <w:rsid w:val="00111088"/>
    <w:rsid w:val="00141C87"/>
    <w:rsid w:val="00191DCA"/>
    <w:rsid w:val="00193C5C"/>
    <w:rsid w:val="001C6670"/>
    <w:rsid w:val="001F2D1E"/>
    <w:rsid w:val="002633BA"/>
    <w:rsid w:val="00280411"/>
    <w:rsid w:val="002841FB"/>
    <w:rsid w:val="00356F95"/>
    <w:rsid w:val="00363A54"/>
    <w:rsid w:val="003831A0"/>
    <w:rsid w:val="003E17E9"/>
    <w:rsid w:val="00405AF0"/>
    <w:rsid w:val="00420ADB"/>
    <w:rsid w:val="004622F7"/>
    <w:rsid w:val="004D7095"/>
    <w:rsid w:val="00500C7D"/>
    <w:rsid w:val="005846E5"/>
    <w:rsid w:val="005C7885"/>
    <w:rsid w:val="00600970"/>
    <w:rsid w:val="00693DE7"/>
    <w:rsid w:val="00694712"/>
    <w:rsid w:val="00713B6E"/>
    <w:rsid w:val="00752807"/>
    <w:rsid w:val="007C3B95"/>
    <w:rsid w:val="00830032"/>
    <w:rsid w:val="0088155F"/>
    <w:rsid w:val="00882893"/>
    <w:rsid w:val="008B5A10"/>
    <w:rsid w:val="009534DA"/>
    <w:rsid w:val="009723E4"/>
    <w:rsid w:val="009B5588"/>
    <w:rsid w:val="009C4223"/>
    <w:rsid w:val="009C5E3C"/>
    <w:rsid w:val="009E3D3A"/>
    <w:rsid w:val="00A15631"/>
    <w:rsid w:val="00A260E3"/>
    <w:rsid w:val="00AB3909"/>
    <w:rsid w:val="00B0749F"/>
    <w:rsid w:val="00B345CC"/>
    <w:rsid w:val="00B44314"/>
    <w:rsid w:val="00B959D8"/>
    <w:rsid w:val="00BA3122"/>
    <w:rsid w:val="00BB40F0"/>
    <w:rsid w:val="00BD5565"/>
    <w:rsid w:val="00BE3771"/>
    <w:rsid w:val="00BF00D0"/>
    <w:rsid w:val="00BF18A8"/>
    <w:rsid w:val="00BF1D06"/>
    <w:rsid w:val="00C45ACD"/>
    <w:rsid w:val="00C76DF7"/>
    <w:rsid w:val="00C92E27"/>
    <w:rsid w:val="00D5017B"/>
    <w:rsid w:val="00D62F33"/>
    <w:rsid w:val="00D652FB"/>
    <w:rsid w:val="00DB4886"/>
    <w:rsid w:val="00DC40E5"/>
    <w:rsid w:val="00DD3359"/>
    <w:rsid w:val="00DF4C34"/>
    <w:rsid w:val="00E25353"/>
    <w:rsid w:val="00E74A96"/>
    <w:rsid w:val="00E75491"/>
    <w:rsid w:val="00E856A9"/>
    <w:rsid w:val="00EA0418"/>
    <w:rsid w:val="00EC1342"/>
    <w:rsid w:val="00ED0559"/>
    <w:rsid w:val="00EF1FE0"/>
    <w:rsid w:val="00F01E75"/>
    <w:rsid w:val="00F174D2"/>
    <w:rsid w:val="00F17816"/>
    <w:rsid w:val="00F95CB4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7E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F2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7E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F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Jorge.Barrera</dc:creator>
  <cp:lastModifiedBy>Toshiba</cp:lastModifiedBy>
  <cp:revision>2</cp:revision>
  <cp:lastPrinted>2013-04-23T22:44:00Z</cp:lastPrinted>
  <dcterms:created xsi:type="dcterms:W3CDTF">2013-04-29T21:18:00Z</dcterms:created>
  <dcterms:modified xsi:type="dcterms:W3CDTF">2013-04-29T21:18:00Z</dcterms:modified>
</cp:coreProperties>
</file>