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E51F1" w14:textId="77777777" w:rsidR="0038185D" w:rsidRDefault="0038185D" w:rsidP="008D6DED">
      <w:pPr>
        <w:spacing w:after="0" w:line="240" w:lineRule="auto"/>
        <w:rPr>
          <w:rFonts w:ascii="Century Gothic" w:hAnsi="Century Gothic"/>
        </w:rPr>
      </w:pPr>
      <w:bookmarkStart w:id="0" w:name="_Toc115874655"/>
      <w:bookmarkStart w:id="1" w:name="_GoBack"/>
      <w:bookmarkEnd w:id="1"/>
    </w:p>
    <w:p w14:paraId="165A7241" w14:textId="77777777" w:rsidR="0038185D" w:rsidRDefault="0038185D" w:rsidP="004A024B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</w:p>
    <w:p w14:paraId="70759DB7" w14:textId="77777777" w:rsidR="004A024B" w:rsidRDefault="004A024B" w:rsidP="004A024B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Viáticos VIAT/134/2023</w:t>
      </w:r>
    </w:p>
    <w:p w14:paraId="6B3067BE" w14:textId="77777777" w:rsidR="004A024B" w:rsidRDefault="004A024B" w:rsidP="004A024B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 w:rsidRPr="0070648F">
        <w:rPr>
          <w:rFonts w:ascii="Century Gothic" w:hAnsi="Century Gothic"/>
          <w:b/>
          <w:sz w:val="12"/>
        </w:rPr>
        <w:t>(Número de viático asignado por la Coordinación de Finanzas)</w:t>
      </w:r>
    </w:p>
    <w:p w14:paraId="3B08E460" w14:textId="77777777" w:rsidR="004A024B" w:rsidRPr="00D77E14" w:rsidRDefault="004A024B" w:rsidP="004A024B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30 del mes de noviembre del año de 2023</w:t>
      </w:r>
    </w:p>
    <w:p w14:paraId="6D490FC0" w14:textId="77E2C0DD" w:rsidR="004E5FCC" w:rsidRPr="00B84407" w:rsidRDefault="0017643F" w:rsidP="00B84407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57612915" w14:textId="77777777" w:rsidR="00B229BC" w:rsidRPr="00B229BC" w:rsidRDefault="00B229BC" w:rsidP="00B229BC">
      <w:pPr>
        <w:spacing w:after="0" w:line="240" w:lineRule="auto"/>
        <w:rPr>
          <w:rFonts w:ascii="Century Gothic" w:hAnsi="Century Gothic"/>
          <w:b/>
          <w:sz w:val="20"/>
        </w:rPr>
      </w:pPr>
      <w:proofErr w:type="spellStart"/>
      <w:r w:rsidRPr="00B229BC">
        <w:rPr>
          <w:rStyle w:val="Textoennegrita"/>
          <w:rFonts w:ascii="Century Gothic" w:hAnsi="Century Gothic" w:cstheme="minorHAnsi"/>
          <w:color w:val="212529"/>
          <w:sz w:val="20"/>
          <w:shd w:val="clear" w:color="auto" w:fill="FFFFFF"/>
        </w:rPr>
        <w:t>Isabella</w:t>
      </w:r>
      <w:proofErr w:type="spellEnd"/>
      <w:r w:rsidRPr="00B229BC">
        <w:rPr>
          <w:rStyle w:val="Textoennegrita"/>
          <w:rFonts w:ascii="Century Gothic" w:hAnsi="Century Gothic" w:cstheme="minorHAnsi"/>
          <w:color w:val="212529"/>
          <w:sz w:val="20"/>
          <w:shd w:val="clear" w:color="auto" w:fill="FFFFFF"/>
        </w:rPr>
        <w:t xml:space="preserve"> Landeros </w:t>
      </w:r>
      <w:proofErr w:type="spellStart"/>
      <w:r w:rsidRPr="00B229BC">
        <w:rPr>
          <w:rStyle w:val="Textoennegrita"/>
          <w:rFonts w:ascii="Century Gothic" w:hAnsi="Century Gothic" w:cstheme="minorHAnsi"/>
          <w:color w:val="212529"/>
          <w:sz w:val="20"/>
          <w:shd w:val="clear" w:color="auto" w:fill="FFFFFF"/>
        </w:rPr>
        <w:t>Bharat</w:t>
      </w:r>
      <w:proofErr w:type="spellEnd"/>
      <w:r w:rsidRPr="00B229BC">
        <w:rPr>
          <w:rStyle w:val="Textoennegrita"/>
          <w:rFonts w:ascii="Century Gothic" w:hAnsi="Century Gothic" w:cstheme="minorHAnsi"/>
          <w:color w:val="212529"/>
          <w:sz w:val="20"/>
          <w:shd w:val="clear" w:color="auto" w:fill="FFFFFF"/>
        </w:rPr>
        <w:t xml:space="preserve"> </w:t>
      </w:r>
      <w:proofErr w:type="spellStart"/>
      <w:r w:rsidRPr="00B229BC">
        <w:rPr>
          <w:rStyle w:val="Textoennegrita"/>
          <w:rFonts w:ascii="Century Gothic" w:hAnsi="Century Gothic" w:cstheme="minorHAnsi"/>
          <w:color w:val="212529"/>
          <w:sz w:val="20"/>
          <w:shd w:val="clear" w:color="auto" w:fill="FFFFFF"/>
        </w:rPr>
        <w:t>Ram</w:t>
      </w:r>
      <w:proofErr w:type="spellEnd"/>
      <w:r w:rsidRPr="00B229BC">
        <w:rPr>
          <w:rStyle w:val="Textoennegrita"/>
          <w:rFonts w:ascii="Century Gothic" w:hAnsi="Century Gothic" w:cstheme="minorHAnsi"/>
          <w:color w:val="212529"/>
          <w:sz w:val="20"/>
          <w:shd w:val="clear" w:color="auto" w:fill="FFFFFF"/>
        </w:rPr>
        <w:br/>
      </w:r>
      <w:r w:rsidRPr="00B229BC">
        <w:rPr>
          <w:rFonts w:ascii="Century Gothic" w:hAnsi="Century Gothic"/>
          <w:b/>
          <w:sz w:val="20"/>
        </w:rPr>
        <w:t>Directora de Administración.</w:t>
      </w:r>
    </w:p>
    <w:p w14:paraId="7B131946" w14:textId="4571EA76" w:rsidR="0017643F" w:rsidRDefault="00B229BC" w:rsidP="00B229BC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B229BC">
        <w:rPr>
          <w:rFonts w:ascii="Century Gothic" w:hAnsi="Century Gothic"/>
          <w:b/>
          <w:sz w:val="20"/>
        </w:rPr>
        <w:t>Presente.</w:t>
      </w:r>
    </w:p>
    <w:p w14:paraId="7E81F5CE" w14:textId="77777777" w:rsidR="004E5FCC" w:rsidRDefault="004E5FCC" w:rsidP="00B229BC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</w:p>
    <w:tbl>
      <w:tblPr>
        <w:tblStyle w:val="Tablaconcuadrcula"/>
        <w:tblW w:w="8947" w:type="dxa"/>
        <w:tblLook w:val="04A0" w:firstRow="1" w:lastRow="0" w:firstColumn="1" w:lastColumn="0" w:noHBand="0" w:noVBand="1"/>
      </w:tblPr>
      <w:tblGrid>
        <w:gridCol w:w="1000"/>
        <w:gridCol w:w="1292"/>
        <w:gridCol w:w="6655"/>
      </w:tblGrid>
      <w:tr w:rsidR="00F74F78" w14:paraId="6A9C0C2B" w14:textId="77777777" w:rsidTr="00A802E3">
        <w:trPr>
          <w:trHeight w:val="604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2C24F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AE54728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8E7D07A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14:paraId="0035B769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7C9D784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055DA86B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512BAFA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F74F78" w14:paraId="40C652B8" w14:textId="77777777" w:rsidTr="00A802E3">
        <w:trPr>
          <w:trHeight w:val="759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F7C35" w14:textId="77777777" w:rsidR="00F74F78" w:rsidRPr="00687E73" w:rsidRDefault="00F74F78" w:rsidP="00F74F7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VIAT</w:t>
            </w:r>
          </w:p>
          <w:p w14:paraId="0303AB21" w14:textId="77F30BBA" w:rsidR="00F74F78" w:rsidRDefault="00FD688A" w:rsidP="00F74F7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134</w:t>
            </w:r>
            <w:r w:rsidR="00F74F78">
              <w:rPr>
                <w:rFonts w:ascii="Century Gothic" w:hAnsi="Century Gothic"/>
                <w:sz w:val="16"/>
                <w:szCs w:val="12"/>
              </w:rPr>
              <w:t>-2023</w:t>
            </w:r>
          </w:p>
          <w:p w14:paraId="3EC8BC4C" w14:textId="77777777" w:rsidR="00F74F78" w:rsidRDefault="00F74F78" w:rsidP="00144BFF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35EC8901" w14:textId="77777777" w:rsidR="00F74F78" w:rsidRDefault="00F74F78" w:rsidP="00144BFF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4E50AA3A" w14:textId="77777777" w:rsidR="00F74F78" w:rsidRDefault="00F74F78" w:rsidP="00144BFF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079F5C20" w14:textId="77777777" w:rsidR="00F74F78" w:rsidRDefault="00F74F78" w:rsidP="00144BFF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079DDE11" w14:textId="77777777" w:rsidR="00F74F78" w:rsidRPr="0085615A" w:rsidRDefault="00F74F78" w:rsidP="00144BF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4E5CEC9F" w14:textId="77777777" w:rsidR="00F74F78" w:rsidRPr="00F12531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655" w:type="dxa"/>
          </w:tcPr>
          <w:p w14:paraId="0C2A2E08" w14:textId="7629A579" w:rsidR="00F74F78" w:rsidRDefault="00FD688A" w:rsidP="00F74F78">
            <w:pPr>
              <w:jc w:val="center"/>
              <w:rPr>
                <w:rFonts w:ascii="Century Gothic" w:hAnsi="Century Gothic" w:cstheme="majorHAnsi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CIUDAD DE MÉXICO</w:t>
            </w:r>
            <w:r w:rsidR="00F74F78">
              <w:rPr>
                <w:rFonts w:ascii="Century Gothic" w:hAnsi="Century Gothic"/>
                <w:sz w:val="20"/>
              </w:rPr>
              <w:br/>
            </w:r>
            <w:r>
              <w:rPr>
                <w:rFonts w:ascii="Century Gothic" w:hAnsi="Century Gothic"/>
                <w:sz w:val="20"/>
                <w:szCs w:val="18"/>
              </w:rPr>
              <w:t>23</w:t>
            </w:r>
            <w:r w:rsidR="00F74F78">
              <w:rPr>
                <w:rFonts w:ascii="Century Gothic" w:hAnsi="Century Gothic"/>
                <w:sz w:val="20"/>
                <w:szCs w:val="18"/>
              </w:rPr>
              <w:t xml:space="preserve"> al </w:t>
            </w:r>
            <w:r>
              <w:rPr>
                <w:rFonts w:ascii="Century Gothic" w:hAnsi="Century Gothic" w:cstheme="majorHAnsi"/>
                <w:sz w:val="20"/>
              </w:rPr>
              <w:t>24</w:t>
            </w:r>
            <w:r w:rsidR="00F74F78">
              <w:rPr>
                <w:rFonts w:ascii="Century Gothic" w:hAnsi="Century Gothic" w:cstheme="majorHAnsi"/>
                <w:sz w:val="20"/>
              </w:rPr>
              <w:t xml:space="preserve"> de </w:t>
            </w:r>
            <w:r>
              <w:rPr>
                <w:rFonts w:ascii="Century Gothic" w:hAnsi="Century Gothic" w:cstheme="majorHAnsi"/>
                <w:sz w:val="20"/>
              </w:rPr>
              <w:t>NOVIEMBRE</w:t>
            </w:r>
            <w:r w:rsidR="00F74F78" w:rsidRPr="00F62F93">
              <w:rPr>
                <w:rFonts w:ascii="Century Gothic" w:hAnsi="Century Gothic" w:cstheme="majorHAnsi"/>
                <w:sz w:val="20"/>
              </w:rPr>
              <w:t xml:space="preserve"> de 2023</w:t>
            </w:r>
          </w:p>
          <w:p w14:paraId="1C7E9FD4" w14:textId="0FC17820" w:rsidR="00F74F78" w:rsidRPr="00DC56EC" w:rsidRDefault="00F74F78" w:rsidP="00144BF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74F78" w14:paraId="47A8BB37" w14:textId="77777777" w:rsidTr="00A802E3">
        <w:trPr>
          <w:trHeight w:val="148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03A5B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6DAB82E8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7C9F3EB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499F5F1A" w14:textId="77777777" w:rsidR="00F74F78" w:rsidRPr="00F12531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5" w:type="dxa"/>
          </w:tcPr>
          <w:p w14:paraId="02105565" w14:textId="77777777" w:rsidR="00F74F78" w:rsidRPr="00AE5023" w:rsidRDefault="00F74F78" w:rsidP="00144B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PEDRO ANTONIO ROSAS HERNÁNDEZ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COMISIONADO CIUDADANO</w:t>
            </w:r>
          </w:p>
        </w:tc>
      </w:tr>
      <w:tr w:rsidR="00F74F78" w14:paraId="2B70F41A" w14:textId="77777777" w:rsidTr="00A802E3">
        <w:trPr>
          <w:trHeight w:val="148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2F750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6B7689BB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8ECAB0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0C34451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E20B54F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7D88863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8F5455C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472BCF5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A02903D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3F6446E2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50013F6" w14:textId="77777777" w:rsidR="00F74F78" w:rsidRPr="00F12531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5" w:type="dxa"/>
          </w:tcPr>
          <w:p w14:paraId="76A4D660" w14:textId="18FDCAEB" w:rsidR="00F74F78" w:rsidRDefault="00F74F78" w:rsidP="00F74F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64329">
              <w:rPr>
                <w:rFonts w:ascii="Century Gothic" w:hAnsi="Century Gothic"/>
                <w:sz w:val="20"/>
                <w:szCs w:val="20"/>
              </w:rPr>
              <w:t xml:space="preserve">ALIMENTOS </w:t>
            </w:r>
            <w:r>
              <w:rPr>
                <w:rFonts w:ascii="Century Gothic" w:hAnsi="Century Gothic"/>
                <w:sz w:val="20"/>
                <w:szCs w:val="20"/>
              </w:rPr>
              <w:t>$1,</w:t>
            </w:r>
            <w:r w:rsidR="00FD688A">
              <w:rPr>
                <w:rFonts w:ascii="Century Gothic" w:hAnsi="Century Gothic"/>
                <w:sz w:val="20"/>
                <w:szCs w:val="20"/>
              </w:rPr>
              <w:t>833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.00 </w:t>
            </w:r>
            <w:r w:rsidRPr="00064329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Mil </w:t>
            </w:r>
            <w:r w:rsidR="00FD688A">
              <w:rPr>
                <w:rFonts w:ascii="Century Gothic" w:hAnsi="Century Gothic"/>
                <w:sz w:val="20"/>
                <w:szCs w:val="20"/>
              </w:rPr>
              <w:t>ochocientos treinta y tres pesos 00</w:t>
            </w:r>
            <w:r w:rsidRPr="00064329">
              <w:rPr>
                <w:rFonts w:ascii="Century Gothic" w:hAnsi="Century Gothic"/>
                <w:sz w:val="20"/>
                <w:szCs w:val="20"/>
              </w:rPr>
              <w:t>/100 m.n.</w:t>
            </w:r>
            <w:r w:rsidRPr="008F500F"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2CC12B32" w14:textId="7551CD9B" w:rsidR="00F74F78" w:rsidRDefault="00F74F78" w:rsidP="00F74F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HOSPEDAJE</w:t>
            </w:r>
            <w:r w:rsidRPr="000643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$</w:t>
            </w:r>
            <w:r w:rsidR="00FD688A">
              <w:rPr>
                <w:rFonts w:ascii="Century Gothic" w:hAnsi="Century Gothic"/>
                <w:sz w:val="20"/>
                <w:szCs w:val="20"/>
              </w:rPr>
              <w:t>1,613.25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FD688A">
              <w:rPr>
                <w:rFonts w:ascii="Century Gothic" w:hAnsi="Century Gothic"/>
                <w:sz w:val="20"/>
                <w:szCs w:val="20"/>
              </w:rPr>
              <w:t>Mil seiscientos trece pesos  25</w:t>
            </w:r>
            <w:r w:rsidRPr="00064329">
              <w:rPr>
                <w:rFonts w:ascii="Century Gothic" w:hAnsi="Century Gothic"/>
                <w:sz w:val="20"/>
                <w:szCs w:val="20"/>
              </w:rPr>
              <w:t>/100 M.N.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09A2DCA2" w14:textId="77777777" w:rsidR="00F74F78" w:rsidRDefault="00F74F78" w:rsidP="00F74F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7F6E08F" w14:textId="0D96AAAF" w:rsidR="00F74F78" w:rsidRDefault="00FD688A" w:rsidP="00F74F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ESTACIONAMIENTO</w:t>
            </w:r>
            <w:r w:rsidR="00F74F78">
              <w:rPr>
                <w:rFonts w:ascii="Century Gothic" w:hAnsi="Century Gothic"/>
                <w:sz w:val="20"/>
                <w:szCs w:val="20"/>
              </w:rPr>
              <w:t xml:space="preserve"> $</w:t>
            </w:r>
            <w:r>
              <w:rPr>
                <w:rFonts w:ascii="Century Gothic" w:hAnsi="Century Gothic"/>
                <w:sz w:val="20"/>
                <w:szCs w:val="20"/>
              </w:rPr>
              <w:t xml:space="preserve">420.00 </w:t>
            </w:r>
            <w:r w:rsidR="00F74F78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Cuatrocientos veinte</w:t>
            </w:r>
            <w:r w:rsidR="00F74F78">
              <w:rPr>
                <w:rFonts w:ascii="Century Gothic" w:hAnsi="Century Gothic"/>
                <w:sz w:val="20"/>
                <w:szCs w:val="20"/>
              </w:rPr>
              <w:t xml:space="preserve"> pesos 00/100 M.N.)</w:t>
            </w:r>
          </w:p>
          <w:p w14:paraId="6511A025" w14:textId="77777777" w:rsidR="00F74F78" w:rsidRDefault="00F74F78" w:rsidP="00F74F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0398F3E" w14:textId="1EEDFD26" w:rsidR="00F74F78" w:rsidRPr="00064329" w:rsidRDefault="00FD688A" w:rsidP="00F74F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TRANSPORTE INTERNO</w:t>
            </w:r>
            <w:r w:rsidR="00F74F78">
              <w:rPr>
                <w:rFonts w:ascii="Century Gothic" w:hAnsi="Century Gothic"/>
                <w:sz w:val="20"/>
                <w:szCs w:val="20"/>
              </w:rPr>
              <w:t xml:space="preserve">  $</w:t>
            </w:r>
            <w:r>
              <w:rPr>
                <w:rFonts w:ascii="Century Gothic" w:hAnsi="Century Gothic"/>
                <w:sz w:val="20"/>
                <w:szCs w:val="20"/>
              </w:rPr>
              <w:t>569.94</w:t>
            </w:r>
            <w:r w:rsidR="00F74F78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sz w:val="20"/>
                <w:szCs w:val="20"/>
              </w:rPr>
              <w:t>quinientos sesenta y nueve pesos</w:t>
            </w:r>
            <w:r w:rsidR="00F74F7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94</w:t>
            </w:r>
            <w:r w:rsidR="00F74F78">
              <w:rPr>
                <w:rFonts w:ascii="Century Gothic" w:hAnsi="Century Gothic"/>
                <w:sz w:val="20"/>
                <w:szCs w:val="20"/>
              </w:rPr>
              <w:t>/100 M.N.)</w:t>
            </w:r>
          </w:p>
          <w:p w14:paraId="6B393BA0" w14:textId="77777777" w:rsidR="00F74F78" w:rsidRPr="00064329" w:rsidRDefault="00F74F78" w:rsidP="00F74F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DB15DF1" w14:textId="0D10C1E6" w:rsidR="00F74F78" w:rsidRDefault="00F74F78" w:rsidP="00F74F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TOTAL DEL COSTO DEL VIAJE </w:t>
            </w:r>
            <w:r w:rsidRPr="0006432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$</w:t>
            </w:r>
            <w:r w:rsidR="00FD688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4,436.19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FD688A">
              <w:rPr>
                <w:rFonts w:ascii="Century Gothic" w:hAnsi="Century Gothic"/>
                <w:b/>
                <w:sz w:val="20"/>
                <w:szCs w:val="20"/>
              </w:rPr>
              <w:t>Cuatro mil cuatrocientos treinta y seis pesos 19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/100 M.N.)  </w:t>
            </w:r>
          </w:p>
          <w:p w14:paraId="686DA0EB" w14:textId="77777777" w:rsidR="00F74F78" w:rsidRPr="00064329" w:rsidRDefault="00F74F78" w:rsidP="00F74F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391CCF7" w14:textId="77777777" w:rsidR="00F74F78" w:rsidRPr="00AE5023" w:rsidRDefault="00F74F78" w:rsidP="00144B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4F78" w14:paraId="0E0CB534" w14:textId="77777777" w:rsidTr="00A802E3">
        <w:trPr>
          <w:trHeight w:val="148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15127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75A3187C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EF4CA7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535C6308" w14:textId="77777777" w:rsidR="00F74F78" w:rsidRPr="00F12531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5" w:type="dxa"/>
          </w:tcPr>
          <w:p w14:paraId="5B420533" w14:textId="18D71003" w:rsidR="00F74F78" w:rsidRPr="00AE5023" w:rsidRDefault="00F74F78" w:rsidP="00F74F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FD688A">
              <w:rPr>
                <w:rFonts w:ascii="Century Gothic" w:hAnsi="Century Gothic"/>
                <w:sz w:val="20"/>
                <w:szCs w:val="18"/>
              </w:rPr>
              <w:t>23 de noviembre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</w:t>
            </w:r>
            <w:r w:rsidR="00FD688A">
              <w:rPr>
                <w:rFonts w:ascii="Century Gothic" w:hAnsi="Century Gothic"/>
                <w:sz w:val="20"/>
                <w:szCs w:val="18"/>
              </w:rPr>
              <w:t xml:space="preserve">de 2023 </w:t>
            </w:r>
            <w:r>
              <w:rPr>
                <w:rFonts w:ascii="Century Gothic" w:hAnsi="Century Gothic"/>
                <w:sz w:val="20"/>
                <w:szCs w:val="18"/>
              </w:rPr>
              <w:t>a las 16:00 horas</w:t>
            </w:r>
          </w:p>
          <w:p w14:paraId="0ECE5C2F" w14:textId="623EA89A" w:rsidR="00F74F78" w:rsidRDefault="00F74F78" w:rsidP="00F74F78"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</w:t>
            </w: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FD688A">
              <w:rPr>
                <w:rFonts w:ascii="Century Gothic" w:hAnsi="Century Gothic"/>
                <w:sz w:val="20"/>
                <w:szCs w:val="18"/>
              </w:rPr>
              <w:t>24 de noviembre de 2023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a las 17:00 horas</w:t>
            </w:r>
          </w:p>
          <w:p w14:paraId="0AD7A61F" w14:textId="3F0C706E" w:rsidR="00F74F78" w:rsidRPr="00AE5023" w:rsidRDefault="00F74F78" w:rsidP="00144B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4F78" w14:paraId="29F9118B" w14:textId="77777777" w:rsidTr="00A802E3">
        <w:trPr>
          <w:trHeight w:val="148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03960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6FF5D52A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FF9C6D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1D20D84B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166ECB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7A52867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60BDC46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00E2FA4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B4661A0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61BEFB2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C75ED3" w14:textId="77777777" w:rsidR="00F74F78" w:rsidRDefault="00F74F78" w:rsidP="00144BF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538D925A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9346E65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B7C0184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53034B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EB1FBBB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132A93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35503C6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7E8983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46E447A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545C6A6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E2AF56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6D58B2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F0986E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147FCA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773B54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72BE247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9492B0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3CC3C0F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28E84A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641461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EC19B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3060E3C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5CCCBF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5F66958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9341BB3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F178DD9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5A9A649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85CF9F0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1ED479B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6E0A981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3D36313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8CBCFE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53B1299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6454581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886279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36720F" w14:textId="77777777" w:rsidR="00D37615" w:rsidRDefault="00D37615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2770A9" w14:textId="77777777" w:rsidR="00F74F78" w:rsidRDefault="00F74F78" w:rsidP="00144BF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0519F9DC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0932724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516F17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71F851F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F42BFD6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C6832E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0A36116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6D07FFA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7CA84BE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F534EA7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9FD5081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6065E2C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579ABF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4D86649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D8AA47" w14:textId="77777777" w:rsidR="00F74F78" w:rsidRPr="00F12531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5" w:type="dxa"/>
          </w:tcPr>
          <w:p w14:paraId="357E7D25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27C0F10C" w14:textId="77777777" w:rsidR="0090663B" w:rsidRPr="0090663B" w:rsidRDefault="0090663B" w:rsidP="0090663B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4760B7D3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Jueves, 23 de noviembre</w:t>
            </w:r>
          </w:p>
          <w:p w14:paraId="6478EAB9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0DD1A994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10.00 a 10.30 Ceremonia de apertura</w:t>
            </w:r>
          </w:p>
          <w:p w14:paraId="3F635B99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10.30 a 11.00 Conferencia</w:t>
            </w:r>
          </w:p>
          <w:p w14:paraId="61BDC556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48485C64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“Acceso a la información en la era del internet”</w:t>
            </w:r>
          </w:p>
          <w:p w14:paraId="1B0D549A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11.15 a 12.15 Panel 1 “Acceso a la información en la era digital para</w:t>
            </w:r>
          </w:p>
          <w:p w14:paraId="69735D7A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09D600BE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la democracia y el desarrollo sostenible”</w:t>
            </w:r>
          </w:p>
          <w:p w14:paraId="71E73051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Identificar: la compleja dinámica y el panorama</w:t>
            </w:r>
          </w:p>
          <w:p w14:paraId="4D359593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cambiante que rodea el acceso a la información en la era</w:t>
            </w:r>
          </w:p>
          <w:p w14:paraId="1BB815E0" w14:textId="77777777" w:rsid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proofErr w:type="gramStart"/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lastRenderedPageBreak/>
              <w:t>digital</w:t>
            </w:r>
            <w:proofErr w:type="gramEnd"/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. Este tema abarca debates sobre los desafíos y</w:t>
            </w:r>
          </w:p>
          <w:p w14:paraId="49D18E61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002BF451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oportunidades que plantea Internet, la importancia del</w:t>
            </w:r>
          </w:p>
          <w:p w14:paraId="314874E9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acceso a información en línea y las implicaciones de los</w:t>
            </w:r>
          </w:p>
          <w:p w14:paraId="1F83FB68" w14:textId="43B9CBF0" w:rsidR="00F74F78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proofErr w:type="gramStart"/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cierres</w:t>
            </w:r>
            <w:proofErr w:type="gramEnd"/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 de Internet y la censura en línea.</w:t>
            </w:r>
          </w:p>
          <w:p w14:paraId="074FF110" w14:textId="77777777" w:rsid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2E401761" w14:textId="77777777" w:rsidR="00571236" w:rsidRDefault="00571236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6BCDA8A5" w14:textId="77777777" w:rsidR="00571236" w:rsidRDefault="00571236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5FBDE5F3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12.15 a 13.15 Panel 2 “El Internet y las TIC ́S como facilitadores del</w:t>
            </w:r>
          </w:p>
          <w:p w14:paraId="132B7D5D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06750359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acceso a la información”</w:t>
            </w:r>
          </w:p>
          <w:p w14:paraId="520E2767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Se centrará en el papel del acceso a Internet para facilitar</w:t>
            </w:r>
          </w:p>
          <w:p w14:paraId="040A6B7F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el ejercicio de los derechos en línea y el acceso a la</w:t>
            </w:r>
          </w:p>
          <w:p w14:paraId="1ECA88C8" w14:textId="61F541D8" w:rsidR="00FD688A" w:rsidRPr="00FD688A" w:rsidRDefault="00571236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Información</w:t>
            </w:r>
            <w:r w:rsidR="00FD688A"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. Subrayando la necesidad de un acceso en</w:t>
            </w:r>
          </w:p>
          <w:p w14:paraId="5AEE297C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línea equitativo y sin restricciones para fomentar el</w:t>
            </w:r>
          </w:p>
          <w:p w14:paraId="7DBA6929" w14:textId="2F95ED7F" w:rsidR="00FD688A" w:rsidRPr="00FD688A" w:rsidRDefault="00571236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Diálogo</w:t>
            </w:r>
            <w:r w:rsidR="00FD688A"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 abierto y el libre flujo de información.</w:t>
            </w:r>
          </w:p>
          <w:p w14:paraId="73615868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13.30 a 14.30 Panel 3 “Cinco años del </w:t>
            </w:r>
            <w:proofErr w:type="spellStart"/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PlanDAI</w:t>
            </w:r>
            <w:proofErr w:type="spellEnd"/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, logros y desafíos”</w:t>
            </w:r>
          </w:p>
          <w:p w14:paraId="78897A33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Presentación de los resultados del diagnóstico al</w:t>
            </w:r>
          </w:p>
          <w:p w14:paraId="20DFB3C7" w14:textId="4D21F06F" w:rsid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proofErr w:type="spellStart"/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PlanDAI</w:t>
            </w:r>
            <w:proofErr w:type="spellEnd"/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 y presentación de desafíos en la quinta edición.</w:t>
            </w:r>
          </w:p>
          <w:p w14:paraId="2A11C08C" w14:textId="77777777" w:rsid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061475C2" w14:textId="77777777" w:rsid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51436AA2" w14:textId="77777777" w:rsid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Viernes 24 de noviembre</w:t>
            </w:r>
          </w:p>
          <w:p w14:paraId="4BABFF78" w14:textId="77777777" w:rsidR="00571236" w:rsidRDefault="00571236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207471D7" w14:textId="77777777" w:rsidR="00571236" w:rsidRPr="00FD688A" w:rsidRDefault="00571236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225E9BA6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10.00 a 11.00 Panel 4 “Historias del </w:t>
            </w:r>
            <w:proofErr w:type="spellStart"/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PlanDAI</w:t>
            </w:r>
            <w:proofErr w:type="spellEnd"/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,</w:t>
            </w:r>
          </w:p>
          <w:p w14:paraId="2285FE22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testimonios de su implementación”</w:t>
            </w:r>
          </w:p>
          <w:p w14:paraId="09731521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Organismos garantes</w:t>
            </w:r>
          </w:p>
          <w:p w14:paraId="1EFE3E00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11.00 a 12.00 Panel 5 “Historias del </w:t>
            </w:r>
            <w:proofErr w:type="spellStart"/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PlanDAI</w:t>
            </w:r>
            <w:proofErr w:type="spellEnd"/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,</w:t>
            </w:r>
          </w:p>
          <w:p w14:paraId="1A9D4385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testimonios de casos de éxito”</w:t>
            </w:r>
          </w:p>
          <w:p w14:paraId="1E33FDAA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Personas beneficiadas</w:t>
            </w:r>
          </w:p>
          <w:p w14:paraId="4B972D03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12.00 a 14.00 Conferencia y Taller</w:t>
            </w:r>
          </w:p>
          <w:p w14:paraId="01A6A628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71410CBE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“Uso y aprovechamiento del DAI”</w:t>
            </w:r>
          </w:p>
          <w:p w14:paraId="6792C869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A cargo de la DGPA</w:t>
            </w:r>
          </w:p>
          <w:p w14:paraId="051F6566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Enlaces del </w:t>
            </w:r>
            <w:proofErr w:type="spellStart"/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PlanDAI</w:t>
            </w:r>
            <w:proofErr w:type="spellEnd"/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 2023</w:t>
            </w:r>
          </w:p>
          <w:p w14:paraId="2081BA32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14:00 a 14:15 Presentación del proyecto</w:t>
            </w:r>
          </w:p>
          <w:p w14:paraId="2BD0D639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05B71C2E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“Reconocimiento Nacional a la Socialización para el</w:t>
            </w:r>
          </w:p>
          <w:p w14:paraId="5CC0D186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Aprovechamiento del Derecho de Acceso a la</w:t>
            </w:r>
          </w:p>
          <w:p w14:paraId="6C32E016" w14:textId="77777777" w:rsidR="00FD688A" w:rsidRP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Información 2024”</w:t>
            </w:r>
          </w:p>
          <w:p w14:paraId="25C4DE48" w14:textId="77777777" w:rsidR="00571236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14.15 a 14.30 </w:t>
            </w:r>
          </w:p>
          <w:p w14:paraId="59F63E1C" w14:textId="0C902C07" w:rsidR="00FD688A" w:rsidRDefault="00FD688A" w:rsidP="00FD688A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FD688A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Cierre y clausura</w:t>
            </w:r>
          </w:p>
          <w:p w14:paraId="255085F9" w14:textId="77777777" w:rsidR="00997ABB" w:rsidRDefault="00997ABB" w:rsidP="00144BFF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1D3055FC" w14:textId="77777777" w:rsidR="00997ABB" w:rsidRDefault="00997ABB" w:rsidP="00144BFF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625F64AF" w14:textId="77777777" w:rsidR="00997ABB" w:rsidRDefault="00997ABB" w:rsidP="00144BFF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7092D2C0" w14:textId="77777777" w:rsidR="00571236" w:rsidRDefault="00571236" w:rsidP="00144BFF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412195FC" w14:textId="77777777" w:rsidR="00997ABB" w:rsidRDefault="00997ABB" w:rsidP="00997ABB">
            <w:pP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7CC5B5CE" w14:textId="77777777" w:rsidR="00A802E3" w:rsidRDefault="00A802E3" w:rsidP="00997ABB">
            <w:pP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48CADFD0" w14:textId="77777777" w:rsidR="00A802E3" w:rsidRPr="00BE4A8E" w:rsidRDefault="00A802E3" w:rsidP="00997ABB">
            <w:pP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</w:tc>
      </w:tr>
      <w:tr w:rsidR="00F74F78" w14:paraId="3B87BCA0" w14:textId="77777777" w:rsidTr="00FD688A">
        <w:trPr>
          <w:trHeight w:val="3543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950" w14:textId="77777777" w:rsidR="00F74F78" w:rsidRDefault="00F74F78" w:rsidP="00144B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7AF7A767" w14:textId="77777777" w:rsidR="00F74F78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6EAA425" w14:textId="77777777" w:rsidR="00997ABB" w:rsidRDefault="00997ABB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8D802AF" w14:textId="77777777" w:rsidR="00F74F78" w:rsidRDefault="00F74F78" w:rsidP="00144BF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4773344" w14:textId="77777777" w:rsidR="00997ABB" w:rsidRDefault="00997ABB" w:rsidP="00997AB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1EBF0EF" w14:textId="77777777" w:rsidR="00F74F78" w:rsidRDefault="00F74F78" w:rsidP="00144BF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A43D852" w14:textId="77777777" w:rsidR="00A802E3" w:rsidRDefault="00A802E3" w:rsidP="00144BF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5D4AD14" w14:textId="77777777" w:rsidR="00997ABB" w:rsidRDefault="00997ABB" w:rsidP="00997A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Resultados</w:t>
            </w:r>
          </w:p>
          <w:p w14:paraId="01190726" w14:textId="77777777" w:rsidR="00F74F78" w:rsidRPr="00F12531" w:rsidRDefault="00F74F78" w:rsidP="00144B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5" w:type="dxa"/>
          </w:tcPr>
          <w:p w14:paraId="07CE88AD" w14:textId="77777777" w:rsidR="00A802E3" w:rsidRDefault="00A802E3" w:rsidP="00144BFF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</w:pPr>
          </w:p>
          <w:p w14:paraId="3CD7BD58" w14:textId="42193BC3" w:rsidR="00F74F78" w:rsidRPr="00FD688A" w:rsidRDefault="00FD688A" w:rsidP="00FD688A">
            <w:pPr>
              <w:shd w:val="clear" w:color="auto" w:fill="FFFFFF"/>
              <w:spacing w:after="100" w:afterAutospacing="1"/>
              <w:jc w:val="both"/>
              <w:outlineLvl w:val="4"/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</w:pPr>
            <w:r w:rsidRPr="00FD688A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En septiembre de 2022 se llevó a cabo un event</w:t>
            </w:r>
            <w:r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o global de</w:t>
            </w:r>
            <w:r w:rsidRPr="00FD688A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conmemoración del Día Internac</w:t>
            </w:r>
            <w:r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ional del Acceso Universal a la </w:t>
            </w:r>
            <w:r w:rsidRPr="00FD688A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Información 2022 en Uzbekistán, con el</w:t>
            </w:r>
            <w:r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tema "Inteligencia artificial, </w:t>
            </w:r>
            <w:r w:rsidRPr="00FD688A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gobernanza electrón</w:t>
            </w:r>
            <w:r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ica y acceso a la información”.</w:t>
            </w:r>
            <w:r w:rsidRPr="00FD688A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En octubre de 2022 se llevó a cabo el “Evento Nacional de ini</w:t>
            </w:r>
            <w:r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cio de </w:t>
            </w:r>
            <w:proofErr w:type="spellStart"/>
            <w:r w:rsidRPr="00FD688A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PlanDAI</w:t>
            </w:r>
            <w:proofErr w:type="spellEnd"/>
            <w:r w:rsidRPr="00FD688A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2022-2023” donde se instaló l</w:t>
            </w:r>
            <w:r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a Red Nacional de Socialización</w:t>
            </w:r>
            <w:r w:rsidRPr="00FD688A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del </w:t>
            </w:r>
            <w:proofErr w:type="spellStart"/>
            <w:r w:rsidRPr="00FD688A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PlanDAI</w:t>
            </w:r>
            <w:proofErr w:type="spellEnd"/>
            <w:r w:rsidRPr="00FD688A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y se discutieron grandes o</w:t>
            </w:r>
            <w:r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bjetivos y la visión general de esta política.</w:t>
            </w:r>
            <w:r w:rsidRPr="00FD688A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El 28 de noviembre se cumplirán cin</w:t>
            </w:r>
            <w:r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co años de haberse publicado en</w:t>
            </w:r>
            <w:r w:rsidRPr="00FD688A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el DOF el Acuerdo que da origen al </w:t>
            </w:r>
            <w:proofErr w:type="spellStart"/>
            <w:r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PlanDAI</w:t>
            </w:r>
            <w:proofErr w:type="spellEnd"/>
            <w:r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(publicado en esa fecha </w:t>
            </w:r>
            <w:r w:rsidRPr="00FD688A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de 2018).</w:t>
            </w:r>
            <w:r w:rsidRPr="00FD688A">
              <w:rPr>
                <w:rFonts w:ascii="Century Gothic" w:eastAsia="Times New Roman" w:hAnsi="Century Gothic" w:cs="Arial"/>
                <w:color w:val="211E37"/>
                <w:sz w:val="20"/>
                <w:szCs w:val="20"/>
                <w:shd w:val="clear" w:color="auto" w:fill="FFFFFF"/>
                <w:lang w:eastAsia="es-MX"/>
              </w:rPr>
              <w:t xml:space="preserve"> </w:t>
            </w:r>
          </w:p>
        </w:tc>
      </w:tr>
    </w:tbl>
    <w:p w14:paraId="59F02D32" w14:textId="77777777" w:rsidR="00F74F78" w:rsidRPr="00B229BC" w:rsidRDefault="00F74F78" w:rsidP="00B229BC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</w:p>
    <w:p w14:paraId="704A4BC8" w14:textId="77777777" w:rsidR="00A802E3" w:rsidRDefault="00A802E3" w:rsidP="008A492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D4A25E0" w14:textId="77777777" w:rsidR="00A802E3" w:rsidRDefault="00A802E3" w:rsidP="008A492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09BE3B5" w14:textId="77777777" w:rsidR="00A802E3" w:rsidRDefault="00A802E3" w:rsidP="008A492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DC8E42B" w14:textId="515C0447" w:rsidR="00053054" w:rsidRDefault="008A492C" w:rsidP="008A492C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="00053054">
        <w:rPr>
          <w:rFonts w:ascii="Century Gothic" w:hAnsi="Century Gothic"/>
          <w:b/>
        </w:rPr>
        <w:t>tentamente.</w:t>
      </w:r>
    </w:p>
    <w:p w14:paraId="521CE87D" w14:textId="77777777" w:rsidR="008A492C" w:rsidRDefault="008A492C" w:rsidP="008A492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871F05E" w14:textId="77777777" w:rsidR="00F34F13" w:rsidRDefault="00F34F13" w:rsidP="00053054">
      <w:pPr>
        <w:rPr>
          <w:rFonts w:ascii="Century Gothic" w:hAnsi="Century Gothic"/>
          <w:b/>
        </w:rPr>
      </w:pPr>
    </w:p>
    <w:p w14:paraId="54A9CB1C" w14:textId="77777777" w:rsidR="00F74F78" w:rsidRDefault="00F74F78" w:rsidP="00053054">
      <w:pPr>
        <w:rPr>
          <w:rFonts w:ascii="Century Gothic" w:hAnsi="Century Gothic"/>
          <w:b/>
        </w:rPr>
      </w:pPr>
    </w:p>
    <w:p w14:paraId="10A3E587" w14:textId="77777777" w:rsidR="00A802E3" w:rsidRDefault="00A802E3" w:rsidP="00053054">
      <w:pPr>
        <w:rPr>
          <w:rFonts w:ascii="Century Gothic" w:hAnsi="Century Gothic"/>
          <w:b/>
        </w:rPr>
      </w:pPr>
    </w:p>
    <w:p w14:paraId="0EE6005E" w14:textId="77777777" w:rsidR="00053054" w:rsidRDefault="00053054" w:rsidP="00053054">
      <w:pPr>
        <w:rPr>
          <w:rFonts w:ascii="Century Gothic" w:hAnsi="Century Gothic"/>
          <w:b/>
        </w:rPr>
      </w:pPr>
    </w:p>
    <w:p w14:paraId="6EDAE714" w14:textId="77777777" w:rsidR="008A492C" w:rsidRDefault="008A492C" w:rsidP="00053054">
      <w:pPr>
        <w:rPr>
          <w:rFonts w:ascii="Century Gothic" w:hAnsi="Century Gothic"/>
          <w:b/>
        </w:rPr>
      </w:pPr>
    </w:p>
    <w:p w14:paraId="28A8D936" w14:textId="77777777" w:rsidR="00053054" w:rsidRPr="00E45F69" w:rsidRDefault="00053054" w:rsidP="00053054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Pedro Antonio Rosas Hernández</w:t>
      </w:r>
    </w:p>
    <w:p w14:paraId="06CC04C3" w14:textId="2E3FB04C" w:rsidR="00053054" w:rsidRDefault="00053054" w:rsidP="008A492C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Comisionado Ciudadano</w:t>
      </w:r>
    </w:p>
    <w:p w14:paraId="077B6ECC" w14:textId="77777777" w:rsidR="00A802E3" w:rsidRDefault="00A802E3" w:rsidP="008A492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5564BFF" w14:textId="77777777" w:rsidR="00A802E3" w:rsidRDefault="00A802E3" w:rsidP="008A492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AAE3ED7" w14:textId="77777777" w:rsidR="00A802E3" w:rsidRDefault="00A802E3" w:rsidP="008A492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9ADA9B5" w14:textId="77777777" w:rsidR="00A802E3" w:rsidRDefault="00A802E3" w:rsidP="008A492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65431EF" w14:textId="77777777" w:rsidR="00A802E3" w:rsidRPr="00E45F69" w:rsidRDefault="00A802E3" w:rsidP="008A492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1F226F2" w14:textId="77777777" w:rsidR="00053054" w:rsidRPr="004E5FCC" w:rsidRDefault="00053054" w:rsidP="00053054">
      <w:r>
        <w:t>PARH / AEVM</w:t>
      </w:r>
    </w:p>
    <w:sectPr w:rsidR="00053054" w:rsidRPr="004E5FC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DCB82" w14:textId="77777777" w:rsidR="005D2654" w:rsidRDefault="005D2654" w:rsidP="001C1827">
      <w:pPr>
        <w:spacing w:after="0" w:line="240" w:lineRule="auto"/>
      </w:pPr>
      <w:r>
        <w:separator/>
      </w:r>
    </w:p>
  </w:endnote>
  <w:endnote w:type="continuationSeparator" w:id="0">
    <w:p w14:paraId="5BF08BF3" w14:textId="77777777" w:rsidR="005D2654" w:rsidRDefault="005D2654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92C42" w14:textId="77777777" w:rsidR="005D2654" w:rsidRDefault="005D2654" w:rsidP="001C1827">
      <w:pPr>
        <w:spacing w:after="0" w:line="240" w:lineRule="auto"/>
      </w:pPr>
      <w:r>
        <w:separator/>
      </w:r>
    </w:p>
  </w:footnote>
  <w:footnote w:type="continuationSeparator" w:id="0">
    <w:p w14:paraId="0001BD12" w14:textId="77777777" w:rsidR="005D2654" w:rsidRDefault="005D2654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EE34B" w14:textId="77777777" w:rsidR="00A802E3" w:rsidRDefault="00A802E3">
    <w:pPr>
      <w:pStyle w:val="Encabezado"/>
    </w:pPr>
  </w:p>
  <w:p w14:paraId="1F78D0B5" w14:textId="38BEB43D" w:rsidR="00E92E86" w:rsidRDefault="00E92E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100D6"/>
    <w:rsid w:val="00016FF5"/>
    <w:rsid w:val="00023830"/>
    <w:rsid w:val="00037277"/>
    <w:rsid w:val="00041BAE"/>
    <w:rsid w:val="00041E6E"/>
    <w:rsid w:val="00041FC6"/>
    <w:rsid w:val="00042A2F"/>
    <w:rsid w:val="00053054"/>
    <w:rsid w:val="000530AF"/>
    <w:rsid w:val="0006272A"/>
    <w:rsid w:val="00064329"/>
    <w:rsid w:val="0006437B"/>
    <w:rsid w:val="0006531D"/>
    <w:rsid w:val="0006677F"/>
    <w:rsid w:val="00080353"/>
    <w:rsid w:val="00081F30"/>
    <w:rsid w:val="000869D2"/>
    <w:rsid w:val="000A0E6B"/>
    <w:rsid w:val="000A33AF"/>
    <w:rsid w:val="000A3B73"/>
    <w:rsid w:val="000A7EC5"/>
    <w:rsid w:val="000C275C"/>
    <w:rsid w:val="000C5DAD"/>
    <w:rsid w:val="000D2D71"/>
    <w:rsid w:val="000E6EBB"/>
    <w:rsid w:val="001009E4"/>
    <w:rsid w:val="00106A98"/>
    <w:rsid w:val="00107425"/>
    <w:rsid w:val="00113D1C"/>
    <w:rsid w:val="001163EE"/>
    <w:rsid w:val="001168EF"/>
    <w:rsid w:val="00131A14"/>
    <w:rsid w:val="0013207A"/>
    <w:rsid w:val="00135D40"/>
    <w:rsid w:val="00137BA0"/>
    <w:rsid w:val="0014172D"/>
    <w:rsid w:val="001534BA"/>
    <w:rsid w:val="001543CE"/>
    <w:rsid w:val="0015635C"/>
    <w:rsid w:val="00157F01"/>
    <w:rsid w:val="00171AAA"/>
    <w:rsid w:val="00173D7F"/>
    <w:rsid w:val="0017643F"/>
    <w:rsid w:val="00180AB2"/>
    <w:rsid w:val="00180E2F"/>
    <w:rsid w:val="00182E67"/>
    <w:rsid w:val="001906F2"/>
    <w:rsid w:val="00190B95"/>
    <w:rsid w:val="00193C66"/>
    <w:rsid w:val="001940C5"/>
    <w:rsid w:val="00196F3E"/>
    <w:rsid w:val="001A1E91"/>
    <w:rsid w:val="001A2C35"/>
    <w:rsid w:val="001A457A"/>
    <w:rsid w:val="001A61DB"/>
    <w:rsid w:val="001A71F4"/>
    <w:rsid w:val="001C1827"/>
    <w:rsid w:val="001C47C4"/>
    <w:rsid w:val="001D759A"/>
    <w:rsid w:val="001E47C1"/>
    <w:rsid w:val="001E6BA8"/>
    <w:rsid w:val="001E746E"/>
    <w:rsid w:val="002105BE"/>
    <w:rsid w:val="00211F8A"/>
    <w:rsid w:val="0023129F"/>
    <w:rsid w:val="00243052"/>
    <w:rsid w:val="00244614"/>
    <w:rsid w:val="002520D8"/>
    <w:rsid w:val="0025409A"/>
    <w:rsid w:val="002540C2"/>
    <w:rsid w:val="00262A10"/>
    <w:rsid w:val="00263A0F"/>
    <w:rsid w:val="002640E9"/>
    <w:rsid w:val="00265260"/>
    <w:rsid w:val="002664F9"/>
    <w:rsid w:val="0027335C"/>
    <w:rsid w:val="002742EB"/>
    <w:rsid w:val="0027713D"/>
    <w:rsid w:val="00286683"/>
    <w:rsid w:val="002870C2"/>
    <w:rsid w:val="00293E9E"/>
    <w:rsid w:val="002963FE"/>
    <w:rsid w:val="002A2C31"/>
    <w:rsid w:val="002A5767"/>
    <w:rsid w:val="002A6935"/>
    <w:rsid w:val="002B7B7F"/>
    <w:rsid w:val="002C66A3"/>
    <w:rsid w:val="002D0CDB"/>
    <w:rsid w:val="002D0EC4"/>
    <w:rsid w:val="002D2920"/>
    <w:rsid w:val="002D4EAB"/>
    <w:rsid w:val="002E0B4E"/>
    <w:rsid w:val="002E1E6E"/>
    <w:rsid w:val="002E6892"/>
    <w:rsid w:val="002F1F76"/>
    <w:rsid w:val="00305A86"/>
    <w:rsid w:val="00306BA4"/>
    <w:rsid w:val="00307573"/>
    <w:rsid w:val="003119B1"/>
    <w:rsid w:val="003172A6"/>
    <w:rsid w:val="00321757"/>
    <w:rsid w:val="00323281"/>
    <w:rsid w:val="00327C8D"/>
    <w:rsid w:val="00332C69"/>
    <w:rsid w:val="00346554"/>
    <w:rsid w:val="00355D4D"/>
    <w:rsid w:val="003615FF"/>
    <w:rsid w:val="00370A88"/>
    <w:rsid w:val="00375132"/>
    <w:rsid w:val="00376E54"/>
    <w:rsid w:val="00380E54"/>
    <w:rsid w:val="0038185D"/>
    <w:rsid w:val="003876F4"/>
    <w:rsid w:val="003A5963"/>
    <w:rsid w:val="003A596D"/>
    <w:rsid w:val="003B67E9"/>
    <w:rsid w:val="003C1B0D"/>
    <w:rsid w:val="003C357C"/>
    <w:rsid w:val="003D0CBC"/>
    <w:rsid w:val="003D10E9"/>
    <w:rsid w:val="003D39A7"/>
    <w:rsid w:val="003D42A6"/>
    <w:rsid w:val="003D446A"/>
    <w:rsid w:val="003D4CAD"/>
    <w:rsid w:val="003D502B"/>
    <w:rsid w:val="003D60C1"/>
    <w:rsid w:val="003D7C44"/>
    <w:rsid w:val="003E1601"/>
    <w:rsid w:val="003E2342"/>
    <w:rsid w:val="003E2FCB"/>
    <w:rsid w:val="003E3024"/>
    <w:rsid w:val="003E5A51"/>
    <w:rsid w:val="003E7444"/>
    <w:rsid w:val="003E7788"/>
    <w:rsid w:val="00406557"/>
    <w:rsid w:val="0041012D"/>
    <w:rsid w:val="00413E98"/>
    <w:rsid w:val="00414368"/>
    <w:rsid w:val="00416CEA"/>
    <w:rsid w:val="00420A59"/>
    <w:rsid w:val="00426C36"/>
    <w:rsid w:val="00430FEC"/>
    <w:rsid w:val="00432832"/>
    <w:rsid w:val="00432F20"/>
    <w:rsid w:val="00441AE7"/>
    <w:rsid w:val="00453ADD"/>
    <w:rsid w:val="00454B1C"/>
    <w:rsid w:val="004634C5"/>
    <w:rsid w:val="004833A8"/>
    <w:rsid w:val="00487ECC"/>
    <w:rsid w:val="004900E1"/>
    <w:rsid w:val="004949A3"/>
    <w:rsid w:val="0049654A"/>
    <w:rsid w:val="004975E8"/>
    <w:rsid w:val="004A024B"/>
    <w:rsid w:val="004A09E2"/>
    <w:rsid w:val="004A1008"/>
    <w:rsid w:val="004B049E"/>
    <w:rsid w:val="004B186F"/>
    <w:rsid w:val="004B2D60"/>
    <w:rsid w:val="004B635D"/>
    <w:rsid w:val="004D347B"/>
    <w:rsid w:val="004D6F5C"/>
    <w:rsid w:val="004E5FCC"/>
    <w:rsid w:val="004E69E1"/>
    <w:rsid w:val="004F5BCA"/>
    <w:rsid w:val="004F6B62"/>
    <w:rsid w:val="00500B72"/>
    <w:rsid w:val="0050367C"/>
    <w:rsid w:val="00510174"/>
    <w:rsid w:val="0051773C"/>
    <w:rsid w:val="00521027"/>
    <w:rsid w:val="0052329F"/>
    <w:rsid w:val="00526575"/>
    <w:rsid w:val="005405CC"/>
    <w:rsid w:val="00547911"/>
    <w:rsid w:val="00556BD3"/>
    <w:rsid w:val="005650E8"/>
    <w:rsid w:val="00566EBF"/>
    <w:rsid w:val="0057083F"/>
    <w:rsid w:val="00571236"/>
    <w:rsid w:val="00574276"/>
    <w:rsid w:val="00580955"/>
    <w:rsid w:val="00586777"/>
    <w:rsid w:val="00586C8D"/>
    <w:rsid w:val="00590F12"/>
    <w:rsid w:val="005918D4"/>
    <w:rsid w:val="005952D7"/>
    <w:rsid w:val="00595C5E"/>
    <w:rsid w:val="005A67A2"/>
    <w:rsid w:val="005B72F1"/>
    <w:rsid w:val="005D2654"/>
    <w:rsid w:val="005D6957"/>
    <w:rsid w:val="005F21EE"/>
    <w:rsid w:val="005F4874"/>
    <w:rsid w:val="005F522B"/>
    <w:rsid w:val="006000E5"/>
    <w:rsid w:val="00610C88"/>
    <w:rsid w:val="006128F2"/>
    <w:rsid w:val="00614B4E"/>
    <w:rsid w:val="00625F0C"/>
    <w:rsid w:val="00630533"/>
    <w:rsid w:val="00631E77"/>
    <w:rsid w:val="006337E2"/>
    <w:rsid w:val="00646FF9"/>
    <w:rsid w:val="00663617"/>
    <w:rsid w:val="00663761"/>
    <w:rsid w:val="00664503"/>
    <w:rsid w:val="00672322"/>
    <w:rsid w:val="00672999"/>
    <w:rsid w:val="006738B3"/>
    <w:rsid w:val="00674C7E"/>
    <w:rsid w:val="00675291"/>
    <w:rsid w:val="00676EAD"/>
    <w:rsid w:val="0068170B"/>
    <w:rsid w:val="0068252D"/>
    <w:rsid w:val="00686A1C"/>
    <w:rsid w:val="00687E73"/>
    <w:rsid w:val="00692270"/>
    <w:rsid w:val="00696A92"/>
    <w:rsid w:val="006A4695"/>
    <w:rsid w:val="006A5D4E"/>
    <w:rsid w:val="006B0777"/>
    <w:rsid w:val="006B1742"/>
    <w:rsid w:val="006B45DB"/>
    <w:rsid w:val="006B4B37"/>
    <w:rsid w:val="006B548C"/>
    <w:rsid w:val="006C08C8"/>
    <w:rsid w:val="006C1014"/>
    <w:rsid w:val="006C315B"/>
    <w:rsid w:val="006C4C43"/>
    <w:rsid w:val="006C4E20"/>
    <w:rsid w:val="006D1E73"/>
    <w:rsid w:val="006D6F4B"/>
    <w:rsid w:val="006E53D4"/>
    <w:rsid w:val="006F150F"/>
    <w:rsid w:val="006F391F"/>
    <w:rsid w:val="006F7B94"/>
    <w:rsid w:val="0070648F"/>
    <w:rsid w:val="00711941"/>
    <w:rsid w:val="00714068"/>
    <w:rsid w:val="00727CE6"/>
    <w:rsid w:val="00730197"/>
    <w:rsid w:val="00731925"/>
    <w:rsid w:val="007329D2"/>
    <w:rsid w:val="0073486A"/>
    <w:rsid w:val="007412FA"/>
    <w:rsid w:val="00750369"/>
    <w:rsid w:val="00750E1D"/>
    <w:rsid w:val="0076179D"/>
    <w:rsid w:val="00761A7E"/>
    <w:rsid w:val="00773CC8"/>
    <w:rsid w:val="007768ED"/>
    <w:rsid w:val="00777007"/>
    <w:rsid w:val="007845E9"/>
    <w:rsid w:val="00787E83"/>
    <w:rsid w:val="00796D04"/>
    <w:rsid w:val="007A2466"/>
    <w:rsid w:val="007B5DDB"/>
    <w:rsid w:val="007B6052"/>
    <w:rsid w:val="007B657C"/>
    <w:rsid w:val="007B7674"/>
    <w:rsid w:val="007C7D9E"/>
    <w:rsid w:val="007D174F"/>
    <w:rsid w:val="007F19BD"/>
    <w:rsid w:val="0080239E"/>
    <w:rsid w:val="008109A7"/>
    <w:rsid w:val="00812E4B"/>
    <w:rsid w:val="0081691A"/>
    <w:rsid w:val="00833AD1"/>
    <w:rsid w:val="008419E7"/>
    <w:rsid w:val="00845EEA"/>
    <w:rsid w:val="008604F8"/>
    <w:rsid w:val="0087291C"/>
    <w:rsid w:val="00881F66"/>
    <w:rsid w:val="00883A31"/>
    <w:rsid w:val="00885DC8"/>
    <w:rsid w:val="008A2DCC"/>
    <w:rsid w:val="008A492C"/>
    <w:rsid w:val="008A652C"/>
    <w:rsid w:val="008C2F54"/>
    <w:rsid w:val="008C5A8D"/>
    <w:rsid w:val="008C6EDF"/>
    <w:rsid w:val="008D194D"/>
    <w:rsid w:val="008D27DF"/>
    <w:rsid w:val="008D2A35"/>
    <w:rsid w:val="008D3BDD"/>
    <w:rsid w:val="008D46C6"/>
    <w:rsid w:val="008D60FE"/>
    <w:rsid w:val="008D6311"/>
    <w:rsid w:val="008D6DED"/>
    <w:rsid w:val="008F500F"/>
    <w:rsid w:val="008F5F1C"/>
    <w:rsid w:val="008F667F"/>
    <w:rsid w:val="008F6AF8"/>
    <w:rsid w:val="0090049B"/>
    <w:rsid w:val="0090663B"/>
    <w:rsid w:val="00907399"/>
    <w:rsid w:val="00925266"/>
    <w:rsid w:val="00926BD6"/>
    <w:rsid w:val="0093050A"/>
    <w:rsid w:val="00931703"/>
    <w:rsid w:val="00936121"/>
    <w:rsid w:val="0093625E"/>
    <w:rsid w:val="00937F75"/>
    <w:rsid w:val="00944A54"/>
    <w:rsid w:val="00945180"/>
    <w:rsid w:val="00946C0C"/>
    <w:rsid w:val="00961D62"/>
    <w:rsid w:val="009624D8"/>
    <w:rsid w:val="009674D3"/>
    <w:rsid w:val="009727B0"/>
    <w:rsid w:val="00975CE3"/>
    <w:rsid w:val="00984EB8"/>
    <w:rsid w:val="00987C6E"/>
    <w:rsid w:val="00990068"/>
    <w:rsid w:val="009970FC"/>
    <w:rsid w:val="00997ABB"/>
    <w:rsid w:val="009A285D"/>
    <w:rsid w:val="009B0801"/>
    <w:rsid w:val="009B1C3C"/>
    <w:rsid w:val="009B2E6E"/>
    <w:rsid w:val="009B45F2"/>
    <w:rsid w:val="009B4FBB"/>
    <w:rsid w:val="009B7A6E"/>
    <w:rsid w:val="009C4370"/>
    <w:rsid w:val="009D25F4"/>
    <w:rsid w:val="009D298D"/>
    <w:rsid w:val="009D3AB1"/>
    <w:rsid w:val="009D4D45"/>
    <w:rsid w:val="009D5E5D"/>
    <w:rsid w:val="009D6AA4"/>
    <w:rsid w:val="009E161A"/>
    <w:rsid w:val="009E2389"/>
    <w:rsid w:val="009F0B00"/>
    <w:rsid w:val="009F2E6D"/>
    <w:rsid w:val="009F33FF"/>
    <w:rsid w:val="009F39B1"/>
    <w:rsid w:val="00A03B34"/>
    <w:rsid w:val="00A05313"/>
    <w:rsid w:val="00A05541"/>
    <w:rsid w:val="00A14A3A"/>
    <w:rsid w:val="00A1733E"/>
    <w:rsid w:val="00A22C79"/>
    <w:rsid w:val="00A37EB8"/>
    <w:rsid w:val="00A40467"/>
    <w:rsid w:val="00A42064"/>
    <w:rsid w:val="00A421EF"/>
    <w:rsid w:val="00A466A2"/>
    <w:rsid w:val="00A52BB2"/>
    <w:rsid w:val="00A55C6D"/>
    <w:rsid w:val="00A70B76"/>
    <w:rsid w:val="00A73EFD"/>
    <w:rsid w:val="00A74606"/>
    <w:rsid w:val="00A802E3"/>
    <w:rsid w:val="00A854BD"/>
    <w:rsid w:val="00A903C6"/>
    <w:rsid w:val="00A91533"/>
    <w:rsid w:val="00A91992"/>
    <w:rsid w:val="00A92F80"/>
    <w:rsid w:val="00AA36C4"/>
    <w:rsid w:val="00AB1196"/>
    <w:rsid w:val="00AB2131"/>
    <w:rsid w:val="00AB652F"/>
    <w:rsid w:val="00AB6AE2"/>
    <w:rsid w:val="00AC0F22"/>
    <w:rsid w:val="00AC13CE"/>
    <w:rsid w:val="00AD5679"/>
    <w:rsid w:val="00AE5023"/>
    <w:rsid w:val="00AE718A"/>
    <w:rsid w:val="00AF1C2C"/>
    <w:rsid w:val="00AF5BA2"/>
    <w:rsid w:val="00AF784B"/>
    <w:rsid w:val="00B001DE"/>
    <w:rsid w:val="00B04EA6"/>
    <w:rsid w:val="00B1085F"/>
    <w:rsid w:val="00B10FB5"/>
    <w:rsid w:val="00B112FC"/>
    <w:rsid w:val="00B127FF"/>
    <w:rsid w:val="00B16098"/>
    <w:rsid w:val="00B21F55"/>
    <w:rsid w:val="00B229BC"/>
    <w:rsid w:val="00B24FB7"/>
    <w:rsid w:val="00B33402"/>
    <w:rsid w:val="00B3520D"/>
    <w:rsid w:val="00B55CEF"/>
    <w:rsid w:val="00B5783A"/>
    <w:rsid w:val="00B62576"/>
    <w:rsid w:val="00B662B5"/>
    <w:rsid w:val="00B70B2C"/>
    <w:rsid w:val="00B75F45"/>
    <w:rsid w:val="00B778B1"/>
    <w:rsid w:val="00B8408A"/>
    <w:rsid w:val="00B84407"/>
    <w:rsid w:val="00B85142"/>
    <w:rsid w:val="00B97843"/>
    <w:rsid w:val="00BA36AD"/>
    <w:rsid w:val="00BA485B"/>
    <w:rsid w:val="00BA4A21"/>
    <w:rsid w:val="00BA5F2D"/>
    <w:rsid w:val="00BB375B"/>
    <w:rsid w:val="00BB38DC"/>
    <w:rsid w:val="00BB43C8"/>
    <w:rsid w:val="00BB5996"/>
    <w:rsid w:val="00BB6180"/>
    <w:rsid w:val="00BC02F2"/>
    <w:rsid w:val="00BE32BF"/>
    <w:rsid w:val="00BE35FE"/>
    <w:rsid w:val="00BE46FD"/>
    <w:rsid w:val="00BE4A8E"/>
    <w:rsid w:val="00BE6FE2"/>
    <w:rsid w:val="00BE79AD"/>
    <w:rsid w:val="00BF0538"/>
    <w:rsid w:val="00C0296F"/>
    <w:rsid w:val="00C04FDB"/>
    <w:rsid w:val="00C05731"/>
    <w:rsid w:val="00C0657B"/>
    <w:rsid w:val="00C068B9"/>
    <w:rsid w:val="00C116A1"/>
    <w:rsid w:val="00C116A2"/>
    <w:rsid w:val="00C13CBA"/>
    <w:rsid w:val="00C20F63"/>
    <w:rsid w:val="00C21806"/>
    <w:rsid w:val="00C24E7C"/>
    <w:rsid w:val="00C25894"/>
    <w:rsid w:val="00C3389A"/>
    <w:rsid w:val="00C35153"/>
    <w:rsid w:val="00C35522"/>
    <w:rsid w:val="00C445B3"/>
    <w:rsid w:val="00C44BA5"/>
    <w:rsid w:val="00C52F85"/>
    <w:rsid w:val="00C54CD1"/>
    <w:rsid w:val="00C60D05"/>
    <w:rsid w:val="00C619A0"/>
    <w:rsid w:val="00C646C5"/>
    <w:rsid w:val="00C64B73"/>
    <w:rsid w:val="00C64D57"/>
    <w:rsid w:val="00C66D6C"/>
    <w:rsid w:val="00C7785D"/>
    <w:rsid w:val="00C77F6D"/>
    <w:rsid w:val="00CA2058"/>
    <w:rsid w:val="00CA35F5"/>
    <w:rsid w:val="00CB2AB3"/>
    <w:rsid w:val="00CB6E51"/>
    <w:rsid w:val="00CD6AB1"/>
    <w:rsid w:val="00CE543C"/>
    <w:rsid w:val="00CE5694"/>
    <w:rsid w:val="00CF45D3"/>
    <w:rsid w:val="00CF7B95"/>
    <w:rsid w:val="00D03968"/>
    <w:rsid w:val="00D07717"/>
    <w:rsid w:val="00D11DD3"/>
    <w:rsid w:val="00D13107"/>
    <w:rsid w:val="00D16105"/>
    <w:rsid w:val="00D233C7"/>
    <w:rsid w:val="00D276F1"/>
    <w:rsid w:val="00D306D8"/>
    <w:rsid w:val="00D32E81"/>
    <w:rsid w:val="00D34294"/>
    <w:rsid w:val="00D37615"/>
    <w:rsid w:val="00D42999"/>
    <w:rsid w:val="00D43452"/>
    <w:rsid w:val="00D53D8C"/>
    <w:rsid w:val="00D627EB"/>
    <w:rsid w:val="00D7057B"/>
    <w:rsid w:val="00D75F4B"/>
    <w:rsid w:val="00D77C62"/>
    <w:rsid w:val="00D77E14"/>
    <w:rsid w:val="00D878D5"/>
    <w:rsid w:val="00D93DFB"/>
    <w:rsid w:val="00DA66AA"/>
    <w:rsid w:val="00DA6AF4"/>
    <w:rsid w:val="00DB0821"/>
    <w:rsid w:val="00DC47A5"/>
    <w:rsid w:val="00DC56EC"/>
    <w:rsid w:val="00DC6DD9"/>
    <w:rsid w:val="00DD5A31"/>
    <w:rsid w:val="00DE0075"/>
    <w:rsid w:val="00DE2AAF"/>
    <w:rsid w:val="00DE64C8"/>
    <w:rsid w:val="00DF2341"/>
    <w:rsid w:val="00DF4983"/>
    <w:rsid w:val="00E04F1A"/>
    <w:rsid w:val="00E055B2"/>
    <w:rsid w:val="00E066AD"/>
    <w:rsid w:val="00E15E47"/>
    <w:rsid w:val="00E26E99"/>
    <w:rsid w:val="00E337CE"/>
    <w:rsid w:val="00E4536E"/>
    <w:rsid w:val="00E45F69"/>
    <w:rsid w:val="00E513E5"/>
    <w:rsid w:val="00E515F2"/>
    <w:rsid w:val="00E6158B"/>
    <w:rsid w:val="00E625B3"/>
    <w:rsid w:val="00E70E86"/>
    <w:rsid w:val="00E70F52"/>
    <w:rsid w:val="00E721FC"/>
    <w:rsid w:val="00E726AD"/>
    <w:rsid w:val="00E72FAD"/>
    <w:rsid w:val="00E75FB8"/>
    <w:rsid w:val="00E76CDE"/>
    <w:rsid w:val="00E8665B"/>
    <w:rsid w:val="00E92E86"/>
    <w:rsid w:val="00E940FF"/>
    <w:rsid w:val="00E97DDE"/>
    <w:rsid w:val="00EA0F56"/>
    <w:rsid w:val="00EA5571"/>
    <w:rsid w:val="00EB711E"/>
    <w:rsid w:val="00EC2C22"/>
    <w:rsid w:val="00EC6C69"/>
    <w:rsid w:val="00ED1727"/>
    <w:rsid w:val="00ED2145"/>
    <w:rsid w:val="00ED3885"/>
    <w:rsid w:val="00ED7621"/>
    <w:rsid w:val="00EE4C78"/>
    <w:rsid w:val="00EE715F"/>
    <w:rsid w:val="00F05877"/>
    <w:rsid w:val="00F17112"/>
    <w:rsid w:val="00F20215"/>
    <w:rsid w:val="00F34F13"/>
    <w:rsid w:val="00F45626"/>
    <w:rsid w:val="00F512CB"/>
    <w:rsid w:val="00F53DB6"/>
    <w:rsid w:val="00F619C8"/>
    <w:rsid w:val="00F62F93"/>
    <w:rsid w:val="00F66BEA"/>
    <w:rsid w:val="00F67E0C"/>
    <w:rsid w:val="00F70CDC"/>
    <w:rsid w:val="00F73537"/>
    <w:rsid w:val="00F74F78"/>
    <w:rsid w:val="00F75B2C"/>
    <w:rsid w:val="00F8151B"/>
    <w:rsid w:val="00F8194F"/>
    <w:rsid w:val="00F84242"/>
    <w:rsid w:val="00F84E9A"/>
    <w:rsid w:val="00F96797"/>
    <w:rsid w:val="00FA18A0"/>
    <w:rsid w:val="00FA497F"/>
    <w:rsid w:val="00FA6738"/>
    <w:rsid w:val="00FC79B1"/>
    <w:rsid w:val="00FD688A"/>
    <w:rsid w:val="00FE0B9D"/>
    <w:rsid w:val="00FE0CE4"/>
    <w:rsid w:val="00FE169A"/>
    <w:rsid w:val="00FE22C7"/>
    <w:rsid w:val="00FE2710"/>
    <w:rsid w:val="00FF0FB0"/>
    <w:rsid w:val="00FF2C53"/>
    <w:rsid w:val="00FF6208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ABB6-CAD6-4386-82BC-7784B08B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4770</TotalTime>
  <Pages>3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Ana Elizabeth Valle</cp:lastModifiedBy>
  <cp:revision>378</cp:revision>
  <cp:lastPrinted>2023-12-01T17:44:00Z</cp:lastPrinted>
  <dcterms:created xsi:type="dcterms:W3CDTF">2022-10-25T16:38:00Z</dcterms:created>
  <dcterms:modified xsi:type="dcterms:W3CDTF">2023-12-01T21:21:00Z</dcterms:modified>
</cp:coreProperties>
</file>