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7380B50B" w:rsidR="0070648F" w:rsidRPr="00A06D71" w:rsidRDefault="007C240C" w:rsidP="009D401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>
        <w:rPr>
          <w:rFonts w:ascii="Arial" w:hAnsi="Arial" w:cs="Arial"/>
          <w:b/>
        </w:rPr>
        <w:t>VIAT/050</w:t>
      </w:r>
      <w:r w:rsidR="00A06D71" w:rsidRPr="00A06D71">
        <w:rPr>
          <w:rFonts w:ascii="Arial" w:hAnsi="Arial" w:cs="Arial"/>
          <w:b/>
        </w:rPr>
        <w:t>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E003131" w14:textId="5B5E10FF" w:rsidR="0017643F" w:rsidRDefault="0070648F" w:rsidP="00A06D71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7C240C">
        <w:rPr>
          <w:rFonts w:ascii="Arial" w:hAnsi="Arial" w:cs="Arial"/>
          <w:b/>
        </w:rPr>
        <w:t>27</w:t>
      </w:r>
      <w:r w:rsidR="00890CAE">
        <w:rPr>
          <w:rFonts w:ascii="Arial" w:hAnsi="Arial" w:cs="Arial"/>
          <w:b/>
        </w:rPr>
        <w:t xml:space="preserve"> </w:t>
      </w:r>
      <w:r w:rsidR="00B31716" w:rsidRPr="00A06D71">
        <w:rPr>
          <w:rFonts w:ascii="Arial" w:hAnsi="Arial" w:cs="Arial"/>
          <w:b/>
        </w:rPr>
        <w:t xml:space="preserve">del mes </w:t>
      </w:r>
      <w:r w:rsidR="0014162C" w:rsidRPr="00A06D71">
        <w:rPr>
          <w:rFonts w:ascii="Arial" w:hAnsi="Arial" w:cs="Arial"/>
          <w:b/>
        </w:rPr>
        <w:t xml:space="preserve">de </w:t>
      </w:r>
      <w:r w:rsidR="001677A2">
        <w:rPr>
          <w:rFonts w:ascii="Arial" w:hAnsi="Arial" w:cs="Arial"/>
          <w:b/>
        </w:rPr>
        <w:t>abril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1F7489A3" w14:textId="77777777" w:rsidR="0024795F" w:rsidRDefault="0024795F" w:rsidP="007C240C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2"/>
          <w:szCs w:val="22"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31B902D8" w:rsidR="0017643F" w:rsidRPr="00840607" w:rsidRDefault="007C240C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050</w:t>
            </w:r>
            <w:r w:rsidR="00A06D71">
              <w:rPr>
                <w:rFonts w:ascii="Arial" w:hAnsi="Arial" w:cs="Arial"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1E8BFA18" w14:textId="21AEE918" w:rsidR="00890CAE" w:rsidRDefault="00BB0711" w:rsidP="00247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 de México</w:t>
            </w:r>
          </w:p>
          <w:p w14:paraId="4E310247" w14:textId="59C19587" w:rsidR="007C240C" w:rsidRDefault="007C240C" w:rsidP="00247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Instituto Tecnológico y de Estudios Superiores de Monterrey</w:t>
            </w:r>
          </w:p>
          <w:p w14:paraId="36409392" w14:textId="72D89AD7" w:rsidR="008224AD" w:rsidRDefault="007C240C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y 20 de abril 2023</w:t>
            </w:r>
          </w:p>
          <w:p w14:paraId="2C975FA4" w14:textId="2DB85D84" w:rsidR="002573E0" w:rsidRPr="00840607" w:rsidRDefault="008224AD" w:rsidP="007C24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="002573E0" w:rsidRPr="0084060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C240C">
              <w:rPr>
                <w:rFonts w:ascii="Arial" w:hAnsi="Arial" w:cs="Arial"/>
                <w:b/>
                <w:sz w:val="18"/>
                <w:szCs w:val="18"/>
              </w:rPr>
              <w:t>Quinta Cumbre Nacional de Gobierno Abierto</w:t>
            </w:r>
            <w:r w:rsidR="00BB07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7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77777777" w:rsidR="0017643F" w:rsidRPr="00840607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Salvador Romero Espinosa</w:t>
            </w:r>
          </w:p>
          <w:p w14:paraId="0F868C04" w14:textId="77777777" w:rsidR="00643FEE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Comisionado Presidente</w:t>
            </w:r>
          </w:p>
          <w:p w14:paraId="6FD53718" w14:textId="78326727" w:rsidR="00B31716" w:rsidRPr="00840607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8D2A71">
        <w:trPr>
          <w:trHeight w:val="3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1F57CDE" w14:textId="26E553AD" w:rsidR="0017643F" w:rsidRPr="007C240C" w:rsidRDefault="00890CAE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Alimentos: </w:t>
            </w:r>
            <w:r w:rsidR="00B31716" w:rsidRPr="007C240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C240C" w:rsidRPr="007C240C">
              <w:rPr>
                <w:rFonts w:ascii="Arial" w:hAnsi="Arial" w:cs="Arial"/>
                <w:b/>
                <w:sz w:val="18"/>
                <w:szCs w:val="18"/>
              </w:rPr>
              <w:t>1,920.00</w:t>
            </w:r>
            <w:r w:rsidR="008224AD" w:rsidRPr="007C24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795F" w:rsidRPr="007C24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FEE" w:rsidRPr="007C240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C240C" w:rsidRPr="007C240C">
              <w:rPr>
                <w:rFonts w:ascii="Arial" w:hAnsi="Arial" w:cs="Arial"/>
                <w:b/>
                <w:sz w:val="18"/>
                <w:szCs w:val="18"/>
              </w:rPr>
              <w:t>Un mil novecientos veinte</w:t>
            </w:r>
            <w:r w:rsidR="001677A2" w:rsidRPr="007C240C">
              <w:rPr>
                <w:rFonts w:ascii="Arial" w:hAnsi="Arial" w:cs="Arial"/>
                <w:b/>
                <w:sz w:val="18"/>
                <w:szCs w:val="18"/>
              </w:rPr>
              <w:t xml:space="preserve"> pesos</w:t>
            </w:r>
            <w:r w:rsidR="008224AD" w:rsidRPr="007C240C">
              <w:rPr>
                <w:rFonts w:ascii="Arial" w:hAnsi="Arial" w:cs="Arial"/>
                <w:b/>
                <w:sz w:val="18"/>
                <w:szCs w:val="18"/>
              </w:rPr>
              <w:t xml:space="preserve"> 00</w:t>
            </w:r>
            <w:r w:rsidR="00643FEE" w:rsidRPr="007C240C">
              <w:rPr>
                <w:rFonts w:ascii="Arial" w:hAnsi="Arial" w:cs="Arial"/>
                <w:b/>
                <w:sz w:val="18"/>
                <w:szCs w:val="18"/>
              </w:rPr>
              <w:t>/100 m.n.)</w:t>
            </w:r>
          </w:p>
          <w:p w14:paraId="31C42206" w14:textId="06EF56E5" w:rsidR="00890CAE" w:rsidRPr="007C240C" w:rsidRDefault="00890CAE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Transporte Interno: </w:t>
            </w:r>
            <w:r w:rsidR="007C240C" w:rsidRPr="007C240C">
              <w:rPr>
                <w:rFonts w:ascii="Arial" w:hAnsi="Arial" w:cs="Arial"/>
                <w:b/>
                <w:sz w:val="18"/>
                <w:szCs w:val="18"/>
              </w:rPr>
              <w:t>$980.78</w:t>
            </w:r>
            <w:r w:rsidR="00BB0711" w:rsidRPr="007C240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C240C" w:rsidRPr="007C240C">
              <w:rPr>
                <w:rFonts w:ascii="Arial" w:hAnsi="Arial" w:cs="Arial"/>
                <w:b/>
                <w:sz w:val="18"/>
                <w:szCs w:val="18"/>
              </w:rPr>
              <w:t>Novecientos ochenta pesos 78</w:t>
            </w:r>
            <w:r w:rsidR="00BB0711" w:rsidRPr="007C240C">
              <w:rPr>
                <w:rFonts w:ascii="Arial" w:hAnsi="Arial" w:cs="Arial"/>
                <w:b/>
                <w:sz w:val="18"/>
                <w:szCs w:val="18"/>
              </w:rPr>
              <w:t>/100 m.n.)</w:t>
            </w:r>
          </w:p>
          <w:p w14:paraId="46C7EE70" w14:textId="36E547E6" w:rsidR="007C240C" w:rsidRPr="007C240C" w:rsidRDefault="007C240C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>Hospedaje: $1,613.25 (Un mil seiscientos trece pesos 25/100 m.n.)</w:t>
            </w:r>
          </w:p>
          <w:p w14:paraId="7AF80622" w14:textId="5026D6CC" w:rsidR="001677A2" w:rsidRPr="007C240C" w:rsidRDefault="001677A2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Estacionamiento: 0.- </w:t>
            </w:r>
          </w:p>
          <w:p w14:paraId="7F0F5558" w14:textId="7F18A085" w:rsidR="00890CAE" w:rsidRPr="00840607" w:rsidRDefault="00890CAE" w:rsidP="007C24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>Total: $</w:t>
            </w:r>
            <w:r w:rsidR="007C240C" w:rsidRPr="007C240C">
              <w:rPr>
                <w:rFonts w:ascii="Arial" w:hAnsi="Arial" w:cs="Arial"/>
                <w:b/>
                <w:sz w:val="18"/>
                <w:szCs w:val="18"/>
              </w:rPr>
              <w:t>4,514.03</w:t>
            </w:r>
            <w:r w:rsidR="001677A2" w:rsidRPr="007C240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C240C" w:rsidRPr="007C240C">
              <w:rPr>
                <w:rFonts w:ascii="Arial" w:hAnsi="Arial" w:cs="Arial"/>
                <w:b/>
                <w:sz w:val="18"/>
                <w:szCs w:val="18"/>
              </w:rPr>
              <w:t>Cuatro mil quinientos catorce pesos 03/100 m.n.)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1810421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16D89929" w14:textId="77777777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HORA DE SALIDA Y REGRESO: </w:t>
            </w:r>
          </w:p>
          <w:p w14:paraId="3DEBE9A9" w14:textId="20051751" w:rsidR="008224AD" w:rsidRDefault="006C604D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Salida: </w:t>
            </w:r>
            <w:r w:rsidR="007C240C">
              <w:rPr>
                <w:rFonts w:ascii="Arial" w:hAnsi="Arial" w:cs="Arial"/>
                <w:b/>
                <w:sz w:val="18"/>
                <w:szCs w:val="18"/>
              </w:rPr>
              <w:t>19 de abril 2023 a las 13:10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  <w:p w14:paraId="0F294B15" w14:textId="0C88D31C" w:rsidR="00B31716" w:rsidRPr="00840607" w:rsidRDefault="00643FEE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Regreso: </w:t>
            </w:r>
            <w:r w:rsidR="007C240C">
              <w:rPr>
                <w:rFonts w:ascii="Arial" w:hAnsi="Arial" w:cs="Arial"/>
                <w:b/>
                <w:sz w:val="18"/>
                <w:szCs w:val="18"/>
              </w:rPr>
              <w:t>20 de abril 2023 a las 21:22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</w:tc>
      </w:tr>
      <w:tr w:rsidR="0017643F" w:rsidRPr="00840607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374FD92" w14:textId="77777777" w:rsidR="0024795F" w:rsidRDefault="007C240C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19 de abril 2023 </w:t>
            </w:r>
          </w:p>
          <w:p w14:paraId="2201D1BF" w14:textId="77777777" w:rsidR="007C240C" w:rsidRDefault="007C240C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Panel 4. Aportes de la justicia abierta para el debido proceso.</w:t>
            </w:r>
          </w:p>
          <w:p w14:paraId="7C126038" w14:textId="15EE6943" w:rsidR="007C240C" w:rsidRPr="00840607" w:rsidRDefault="007C240C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Moderador</w:t>
            </w:r>
          </w:p>
        </w:tc>
      </w:tr>
      <w:tr w:rsidR="0017643F" w:rsidRPr="00840607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ADC0F44" w14:textId="519765C0" w:rsidR="001677A2" w:rsidRPr="00840607" w:rsidRDefault="00E3757A" w:rsidP="00E375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llevó</w:t>
            </w:r>
            <w:r w:rsidRPr="00E3757A">
              <w:rPr>
                <w:rFonts w:ascii="Arial" w:hAnsi="Arial" w:cs="Arial"/>
                <w:b/>
                <w:sz w:val="18"/>
                <w:szCs w:val="18"/>
              </w:rPr>
              <w:t xml:space="preserve"> a cabo </w:t>
            </w:r>
            <w:r w:rsidR="007C240C">
              <w:rPr>
                <w:rFonts w:ascii="Arial" w:hAnsi="Arial" w:cs="Arial"/>
                <w:b/>
                <w:sz w:val="18"/>
                <w:szCs w:val="18"/>
              </w:rPr>
              <w:t>el ejercicio de intercambio de experiencias en materia de apertura institucional  denominado “Cumbre Nacional de Gobierno Abierto”</w:t>
            </w:r>
            <w:r w:rsidR="003C4D11">
              <w:rPr>
                <w:rFonts w:ascii="Arial" w:hAnsi="Arial" w:cs="Arial"/>
                <w:b/>
                <w:sz w:val="18"/>
                <w:szCs w:val="18"/>
              </w:rPr>
              <w:t xml:space="preserve">, Evento que se ha posicionado en materia de apertura gubernamental, donde se plantearon posibles soluciones a problemas públicos desde la perspectiva de la participación ciudadana, la transparencia, la innovación social y la rendición de cuentas, como ejes nodales de gobierno abierto. </w:t>
            </w: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86CCBA" w14:textId="54C4B41A" w:rsidR="0017643F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3A9CF581" w14:textId="77777777" w:rsidR="00840607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E221D11" w14:textId="77777777" w:rsidR="00840607" w:rsidRDefault="00840607" w:rsidP="009D40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1E594" w14:textId="77777777" w:rsidR="00840607" w:rsidRDefault="00840607" w:rsidP="00E94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AC38CE" w14:textId="77777777" w:rsidR="0024795F" w:rsidRDefault="0024795F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4CB971" w14:textId="77777777" w:rsidR="008224AD" w:rsidRPr="00840607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Pr="00840607" w:rsidRDefault="002573E0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62C0CA6" w14:textId="4CF2F5E1" w:rsidR="002573E0" w:rsidRPr="00840607" w:rsidRDefault="00840607" w:rsidP="0017643F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 xml:space="preserve">Dr. </w:t>
      </w:r>
      <w:r w:rsidR="002573E0" w:rsidRPr="00840607">
        <w:rPr>
          <w:rFonts w:ascii="Arial" w:hAnsi="Arial" w:cs="Arial"/>
          <w:b/>
        </w:rPr>
        <w:t xml:space="preserve">Salvador Romero Espinosa </w:t>
      </w:r>
    </w:p>
    <w:p w14:paraId="273AA1D9" w14:textId="0F5FD395" w:rsidR="009D4015" w:rsidRDefault="002573E0" w:rsidP="009D4015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>Comisionado Presidente</w:t>
      </w:r>
    </w:p>
    <w:p w14:paraId="2CF1029F" w14:textId="77777777" w:rsidR="0024795F" w:rsidRDefault="0024795F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4FE6BA6" w14:textId="77777777" w:rsidR="0024795F" w:rsidRDefault="0024795F" w:rsidP="003C4D11">
      <w:pPr>
        <w:spacing w:after="0" w:line="240" w:lineRule="auto"/>
        <w:rPr>
          <w:rFonts w:ascii="Arial" w:hAnsi="Arial" w:cs="Arial"/>
          <w:b/>
        </w:rPr>
      </w:pPr>
      <w:bookmarkStart w:id="1" w:name="_GoBack"/>
      <w:bookmarkEnd w:id="1"/>
    </w:p>
    <w:p w14:paraId="02494CD8" w14:textId="77777777" w:rsidR="00E3757A" w:rsidRPr="009D4015" w:rsidRDefault="00E3757A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968E359" w14:textId="7B70AE30" w:rsidR="0017643F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573E0" w:rsidRPr="00840607">
        <w:rPr>
          <w:rFonts w:ascii="Arial" w:hAnsi="Arial" w:cs="Arial"/>
          <w:sz w:val="18"/>
          <w:szCs w:val="18"/>
        </w:rPr>
        <w:t>.c. Archivo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95D36"/>
    <w:rsid w:val="00106A98"/>
    <w:rsid w:val="0014162C"/>
    <w:rsid w:val="001677A2"/>
    <w:rsid w:val="0017643F"/>
    <w:rsid w:val="001C1827"/>
    <w:rsid w:val="00230BC4"/>
    <w:rsid w:val="0024795F"/>
    <w:rsid w:val="002573E0"/>
    <w:rsid w:val="00263A0F"/>
    <w:rsid w:val="002870C2"/>
    <w:rsid w:val="002D0CDB"/>
    <w:rsid w:val="00305A86"/>
    <w:rsid w:val="00312236"/>
    <w:rsid w:val="003C4D11"/>
    <w:rsid w:val="003E1601"/>
    <w:rsid w:val="003E5A51"/>
    <w:rsid w:val="004249CD"/>
    <w:rsid w:val="00444C6B"/>
    <w:rsid w:val="00484847"/>
    <w:rsid w:val="005A67A2"/>
    <w:rsid w:val="00635D42"/>
    <w:rsid w:val="00643FEE"/>
    <w:rsid w:val="006738B3"/>
    <w:rsid w:val="00692FF6"/>
    <w:rsid w:val="006C604D"/>
    <w:rsid w:val="006D6F4B"/>
    <w:rsid w:val="0070648F"/>
    <w:rsid w:val="00773CC8"/>
    <w:rsid w:val="007A2466"/>
    <w:rsid w:val="007C240C"/>
    <w:rsid w:val="007C7D9E"/>
    <w:rsid w:val="008224AD"/>
    <w:rsid w:val="00833AD1"/>
    <w:rsid w:val="00840607"/>
    <w:rsid w:val="008432BE"/>
    <w:rsid w:val="00890CAE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5311C"/>
    <w:rsid w:val="00A5598E"/>
    <w:rsid w:val="00B24FB7"/>
    <w:rsid w:val="00B31716"/>
    <w:rsid w:val="00B41AA6"/>
    <w:rsid w:val="00BB0711"/>
    <w:rsid w:val="00C116A1"/>
    <w:rsid w:val="00C24E7C"/>
    <w:rsid w:val="00C35153"/>
    <w:rsid w:val="00C64D57"/>
    <w:rsid w:val="00C831DD"/>
    <w:rsid w:val="00CB6E51"/>
    <w:rsid w:val="00DC47A5"/>
    <w:rsid w:val="00DE64C8"/>
    <w:rsid w:val="00E055B2"/>
    <w:rsid w:val="00E066AD"/>
    <w:rsid w:val="00E339E5"/>
    <w:rsid w:val="00E3757A"/>
    <w:rsid w:val="00E9459B"/>
    <w:rsid w:val="00EB57F8"/>
    <w:rsid w:val="00F66BEA"/>
    <w:rsid w:val="00F75B2C"/>
    <w:rsid w:val="00FE14F5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Fabiola Cisneros</cp:lastModifiedBy>
  <cp:revision>3</cp:revision>
  <cp:lastPrinted>2023-04-28T00:54:00Z</cp:lastPrinted>
  <dcterms:created xsi:type="dcterms:W3CDTF">2023-04-28T00:42:00Z</dcterms:created>
  <dcterms:modified xsi:type="dcterms:W3CDTF">2023-04-28T00:54:00Z</dcterms:modified>
</cp:coreProperties>
</file>