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A8" w:rsidRPr="00191578" w:rsidRDefault="00B96EA8" w:rsidP="00B96EA8">
      <w:pPr>
        <w:jc w:val="center"/>
        <w:rPr>
          <w:rFonts w:ascii="Century Gothic" w:hAnsi="Century Gothic"/>
          <w:b/>
          <w:sz w:val="24"/>
        </w:rPr>
      </w:pPr>
      <w:r w:rsidRPr="00191578">
        <w:rPr>
          <w:rFonts w:ascii="Century Gothic" w:hAnsi="Century Gothic"/>
          <w:b/>
          <w:sz w:val="24"/>
        </w:rPr>
        <w:t>Constitución Política de</w:t>
      </w:r>
      <w:r>
        <w:rPr>
          <w:rFonts w:ascii="Century Gothic" w:hAnsi="Century Gothic"/>
          <w:b/>
          <w:sz w:val="24"/>
        </w:rPr>
        <w:t>l Estado de Jalisco</w:t>
      </w:r>
    </w:p>
    <w:p w:rsidR="00B96EA8" w:rsidRDefault="00B96EA8" w:rsidP="00B96EA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B96EA8" w:rsidRDefault="00B96EA8" w:rsidP="00B96EA8">
      <w:pPr>
        <w:jc w:val="both"/>
        <w:rPr>
          <w:rFonts w:ascii="Century Gothic" w:hAnsi="Century Gothic"/>
          <w:b/>
          <w:sz w:val="24"/>
        </w:rPr>
      </w:pPr>
      <w:r>
        <w:rPr>
          <w:rFonts w:ascii="Century Gothic" w:hAnsi="Century Gothic"/>
          <w:b/>
          <w:sz w:val="24"/>
        </w:rPr>
        <w:t>A</w:t>
      </w:r>
      <w:r w:rsidRPr="00B96EA8">
        <w:rPr>
          <w:rFonts w:ascii="Century Gothic" w:hAnsi="Century Gothic"/>
          <w:b/>
          <w:sz w:val="24"/>
        </w:rPr>
        <w:t xml:space="preserve">rtículos 4°, </w:t>
      </w:r>
      <w:r w:rsidR="003A2227">
        <w:rPr>
          <w:rFonts w:ascii="Century Gothic" w:hAnsi="Century Gothic"/>
          <w:b/>
          <w:sz w:val="24"/>
        </w:rPr>
        <w:t>párrafo quinto</w:t>
      </w:r>
      <w:r>
        <w:rPr>
          <w:rFonts w:ascii="Century Gothic" w:hAnsi="Century Gothic"/>
          <w:b/>
          <w:sz w:val="24"/>
        </w:rPr>
        <w:t>,</w:t>
      </w:r>
      <w:r w:rsidRPr="00B96EA8">
        <w:rPr>
          <w:rFonts w:ascii="Century Gothic" w:hAnsi="Century Gothic"/>
          <w:b/>
          <w:sz w:val="24"/>
        </w:rPr>
        <w:t xml:space="preserve"> 7</w:t>
      </w:r>
      <w:r>
        <w:rPr>
          <w:rFonts w:ascii="Century Gothic" w:hAnsi="Century Gothic"/>
          <w:b/>
          <w:sz w:val="24"/>
        </w:rPr>
        <w:t>°</w:t>
      </w:r>
      <w:r w:rsidRPr="00B96EA8">
        <w:rPr>
          <w:rFonts w:ascii="Century Gothic" w:hAnsi="Century Gothic"/>
          <w:b/>
          <w:sz w:val="24"/>
        </w:rPr>
        <w:t>, párrafo segundo, 9°, 15 frac</w:t>
      </w:r>
      <w:r w:rsidR="00B67026">
        <w:rPr>
          <w:rFonts w:ascii="Century Gothic" w:hAnsi="Century Gothic"/>
          <w:b/>
          <w:sz w:val="24"/>
        </w:rPr>
        <w:t>ciones IX y X, párrafo segundo</w:t>
      </w:r>
      <w:r w:rsidR="0093051E">
        <w:rPr>
          <w:rFonts w:ascii="Century Gothic" w:hAnsi="Century Gothic"/>
          <w:b/>
          <w:sz w:val="24"/>
        </w:rPr>
        <w:t xml:space="preserve">, y 107-Ter. </w:t>
      </w:r>
    </w:p>
    <w:p w:rsidR="003A2227" w:rsidRPr="003A2227" w:rsidRDefault="00B67026"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b/>
          <w:bCs/>
          <w:spacing w:val="-3"/>
          <w:sz w:val="20"/>
          <w:szCs w:val="20"/>
          <w:lang w:val="es-ES_tradnl" w:eastAsia="es-ES"/>
        </w:rPr>
        <w:t>Artículo 4º</w:t>
      </w:r>
      <w:r w:rsidRPr="00B67026">
        <w:rPr>
          <w:rFonts w:ascii="Century Gothic" w:eastAsia="Times New Roman" w:hAnsi="Century Gothic" w:cs="Arial"/>
          <w:spacing w:val="-3"/>
          <w:sz w:val="20"/>
          <w:szCs w:val="20"/>
          <w:lang w:val="es-ES_tradnl" w:eastAsia="es-ES"/>
        </w:rPr>
        <w:t xml:space="preserve">.- </w:t>
      </w:r>
      <w:r w:rsidR="003A2227" w:rsidRPr="003A2227">
        <w:rPr>
          <w:rFonts w:ascii="Century Gothic" w:eastAsia="Times New Roman" w:hAnsi="Century Gothic" w:cs="Arial"/>
          <w:spacing w:val="-3"/>
          <w:sz w:val="20"/>
          <w:szCs w:val="20"/>
          <w:lang w:val="es-ES_tradnl" w:eastAsia="es-ES"/>
        </w:rPr>
        <w:t>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El derecho a la información pública y la protección de datos personales será garantizado por el Estado en los términos de lo que establecen la Constitución Política de los Estados </w:t>
      </w:r>
      <w:r w:rsidRPr="003A2227">
        <w:rPr>
          <w:rFonts w:ascii="Century Gothic" w:eastAsia="Times New Roman" w:hAnsi="Century Gothic" w:cs="Arial"/>
          <w:spacing w:val="-3"/>
          <w:sz w:val="20"/>
          <w:szCs w:val="20"/>
          <w:lang w:val="es-ES_tradnl" w:eastAsia="es-ES"/>
        </w:rPr>
        <w:lastRenderedPageBreak/>
        <w:t xml:space="preserve">Unidos Mexicanos, los tratados internacionales de los que el Estado Mexicano sea parte, esta Constitución y las leyes en la materia. </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Esta Constitución reconoce el derecho humano a la participación ciudadana. </w:t>
      </w:r>
    </w:p>
    <w:p w:rsidR="00B67026" w:rsidRPr="00B67026" w:rsidRDefault="0093051E" w:rsidP="00B67026">
      <w:pPr>
        <w:spacing w:before="80" w:after="80" w:line="240" w:lineRule="auto"/>
        <w:jc w:val="both"/>
        <w:rPr>
          <w:rFonts w:ascii="Century Gothic" w:eastAsia="Times New Roman" w:hAnsi="Century Gothic" w:cs="Arial"/>
          <w:sz w:val="20"/>
          <w:szCs w:val="20"/>
          <w:lang w:val="es-ES_tradnl" w:eastAsia="es-ES"/>
        </w:rPr>
      </w:pPr>
      <w:r>
        <w:rPr>
          <w:rFonts w:ascii="Century Gothic" w:eastAsia="Times New Roman" w:hAnsi="Century Gothic" w:cs="Arial"/>
          <w:sz w:val="20"/>
          <w:szCs w:val="20"/>
          <w:lang w:val="es-ES_tradnl" w:eastAsia="es-ES"/>
        </w:rPr>
        <w:t>[</w:t>
      </w:r>
      <w:r w:rsidR="00B67026">
        <w:rPr>
          <w:rFonts w:ascii="Century Gothic" w:eastAsia="Times New Roman" w:hAnsi="Century Gothic" w:cs="Arial"/>
          <w:sz w:val="20"/>
          <w:szCs w:val="20"/>
          <w:lang w:val="es-ES_tradnl" w:eastAsia="es-ES"/>
        </w:rPr>
        <w:t>…</w:t>
      </w:r>
      <w:r>
        <w:rPr>
          <w:rFonts w:ascii="Century Gothic" w:eastAsia="Times New Roman" w:hAnsi="Century Gothic" w:cs="Arial"/>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bCs/>
          <w:sz w:val="20"/>
          <w:szCs w:val="20"/>
          <w:lang w:val="es-ES_tradnl" w:eastAsia="es-ES"/>
        </w:rPr>
      </w:pPr>
      <w:r w:rsidRPr="00B67026">
        <w:rPr>
          <w:rFonts w:ascii="Century Gothic" w:eastAsia="Times New Roman" w:hAnsi="Century Gothic" w:cs="Arial"/>
          <w:b/>
          <w:bCs/>
          <w:sz w:val="20"/>
          <w:szCs w:val="20"/>
          <w:lang w:val="es-ES_tradnl" w:eastAsia="es-ES"/>
        </w:rPr>
        <w:t xml:space="preserve">Artículo 7°. </w:t>
      </w:r>
      <w:r w:rsidR="0058386C" w:rsidRPr="0058386C">
        <w:rPr>
          <w:rFonts w:ascii="Century Gothic" w:eastAsia="Times New Roman" w:hAnsi="Century Gothic" w:cs="Arial"/>
          <w:bCs/>
          <w:sz w:val="20"/>
          <w:szCs w:val="20"/>
          <w:lang w:val="es-ES_tradnl" w:eastAsia="es-ES"/>
        </w:rPr>
        <w:t>Nadie puede ser molestado en su persona, familia, domicilio, papeles o posesiones, sino en virtud de mandamiento escrito de la autoridad competente, que funde y motive la causa legal del procedimiento.</w:t>
      </w:r>
    </w:p>
    <w:p w:rsidR="0058386C" w:rsidRDefault="0058386C" w:rsidP="0058386C">
      <w:pPr>
        <w:spacing w:before="240" w:after="80" w:line="240" w:lineRule="auto"/>
        <w:jc w:val="both"/>
        <w:rPr>
          <w:rFonts w:ascii="Century Gothic" w:eastAsia="Times New Roman" w:hAnsi="Century Gothic" w:cs="Arial"/>
          <w:bCs/>
          <w:sz w:val="20"/>
          <w:szCs w:val="20"/>
          <w:lang w:val="es-ES_tradnl" w:eastAsia="es-ES"/>
        </w:rPr>
      </w:pPr>
      <w:r w:rsidRPr="0058386C">
        <w:rPr>
          <w:rFonts w:ascii="Century Gothic" w:eastAsia="Times New Roman" w:hAnsi="Century Gothic" w:cs="Arial"/>
          <w:bCs/>
          <w:sz w:val="20"/>
          <w:szCs w:val="20"/>
          <w:lang w:val="es-ES_tradnl" w:eastAsia="es-ES"/>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93051E" w:rsidRPr="00B67026" w:rsidRDefault="0093051E" w:rsidP="0093051E">
      <w:pPr>
        <w:spacing w:before="80" w:after="80" w:line="240" w:lineRule="auto"/>
        <w:jc w:val="both"/>
        <w:rPr>
          <w:rFonts w:ascii="Century Gothic" w:eastAsia="Times New Roman" w:hAnsi="Century Gothic" w:cs="Arial"/>
          <w:sz w:val="20"/>
          <w:szCs w:val="20"/>
          <w:lang w:val="es-ES_tradnl" w:eastAsia="es-ES"/>
        </w:rPr>
      </w:pPr>
      <w:r>
        <w:rPr>
          <w:rFonts w:ascii="Century Gothic" w:eastAsia="Times New Roman" w:hAnsi="Century Gothic" w:cs="Arial"/>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b/>
          <w:bCs/>
          <w:sz w:val="20"/>
          <w:szCs w:val="20"/>
          <w:lang w:val="es-ES_tradnl" w:eastAsia="es-ES"/>
        </w:rPr>
        <w:t>Artículo 9º</w:t>
      </w:r>
      <w:r w:rsidRPr="00B67026">
        <w:rPr>
          <w:rFonts w:ascii="Century Gothic" w:eastAsia="Times New Roman" w:hAnsi="Century Gothic" w:cs="Arial"/>
          <w:sz w:val="20"/>
          <w:szCs w:val="20"/>
          <w:lang w:val="es-ES_tradnl" w:eastAsia="es-ES"/>
        </w:rPr>
        <w:t xml:space="preserve">.- </w:t>
      </w:r>
      <w:r w:rsidR="0058386C" w:rsidRPr="0058386C">
        <w:rPr>
          <w:rFonts w:ascii="Century Gothic" w:eastAsia="Times New Roman" w:hAnsi="Century Gothic" w:cs="Arial"/>
          <w:sz w:val="20"/>
          <w:szCs w:val="20"/>
          <w:lang w:val="es-ES_tradnl" w:eastAsia="es-ES"/>
        </w:rPr>
        <w:t>El derecho a la información pública tendrá los siguientes fundamentos: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 La consolidación del estado democrático y de derecho en Jalisco;</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III. La participación de las personas en la toma de decisiones públicas, mediante el ejercicio del derecho a la información;</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IV. La información pública veraz y oportuna;</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 La protección de datos personales en posesión de sujetos obligados; y</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VI. 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 xml:space="preserve">El Instituto estará conformado por un Presidente y dos comisionados titulares, así como por los suplentes respectivos; los miembros del Pleno del Instituto serán nombrados mediante el voto de dos terceras partes de los integrantes del Congreso del Estado, o por </w:t>
      </w:r>
      <w:r w:rsidRPr="0058386C">
        <w:rPr>
          <w:rFonts w:ascii="Century Gothic" w:eastAsia="Times New Roman" w:hAnsi="Century Gothic" w:cs="Arial"/>
          <w:sz w:val="20"/>
          <w:szCs w:val="20"/>
          <w:lang w:val="es-ES_tradnl" w:eastAsia="es-ES"/>
        </w:rPr>
        <w:lastRenderedPageBreak/>
        <w:t>insaculación, conforme a los requisitos y procedimientos que establezca la ley, procurando la igualdad de género.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 </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Nacional de Transparencia, Acceso a la Información y Protección de Datos Personales también conocerá de los recursos de revisión que señale la Ley General en materia de transparencia.</w:t>
      </w:r>
    </w:p>
    <w:p w:rsidR="00B67026" w:rsidRDefault="00B67026" w:rsidP="00B67026">
      <w:pPr>
        <w:pStyle w:val="Textoindependiente2"/>
        <w:tabs>
          <w:tab w:val="clear" w:pos="-720"/>
        </w:tabs>
        <w:spacing w:before="240" w:after="80"/>
        <w:rPr>
          <w:rFonts w:ascii="Century Gothic" w:hAnsi="Century Gothic"/>
          <w:lang w:val="es-ES"/>
        </w:rPr>
      </w:pPr>
      <w:r w:rsidRPr="00B67026">
        <w:rPr>
          <w:rFonts w:ascii="Century Gothic" w:hAnsi="Century Gothic"/>
          <w:b/>
          <w:bCs/>
          <w:lang w:val="es-ES"/>
        </w:rPr>
        <w:t>Artículo 15</w:t>
      </w:r>
      <w:r w:rsidRPr="00B67026">
        <w:rPr>
          <w:rFonts w:ascii="Century Gothic" w:hAnsi="Century Gothic"/>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67026" w:rsidRPr="00B67026" w:rsidRDefault="0093051E" w:rsidP="00B67026">
      <w:pPr>
        <w:spacing w:before="80" w:after="80" w:line="240" w:lineRule="auto"/>
        <w:ind w:left="708"/>
        <w:jc w:val="both"/>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w:t>
      </w:r>
      <w:r w:rsidR="00B67026" w:rsidRPr="00B67026">
        <w:rPr>
          <w:rFonts w:ascii="Century Gothic" w:eastAsia="Times New Roman" w:hAnsi="Century Gothic" w:cs="Arial"/>
          <w:sz w:val="20"/>
          <w:szCs w:val="20"/>
          <w:lang w:eastAsia="en-US"/>
        </w:rPr>
        <w:t>…</w:t>
      </w:r>
      <w:r>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IX. Las autoridades estatales y municipales promoverán y garantizarán la transparencia y el derecho a la información pública, en el ámbito de su competencia; y</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X.</w:t>
      </w:r>
      <w:r>
        <w:rPr>
          <w:rFonts w:ascii="Century Gothic" w:eastAsia="Times New Roman" w:hAnsi="Century Gothic" w:cs="Arial"/>
          <w:sz w:val="20"/>
          <w:szCs w:val="20"/>
          <w:lang w:eastAsia="en-US"/>
        </w:rPr>
        <w:t xml:space="preserve"> </w:t>
      </w:r>
      <w:r w:rsidR="0093051E">
        <w:rPr>
          <w:rFonts w:ascii="Century Gothic" w:eastAsia="Times New Roman" w:hAnsi="Century Gothic" w:cs="Arial"/>
          <w:sz w:val="20"/>
          <w:szCs w:val="20"/>
          <w:lang w:eastAsia="en-US"/>
        </w:rPr>
        <w:t>[</w:t>
      </w:r>
      <w:bookmarkStart w:id="0" w:name="_GoBack"/>
      <w:bookmarkEnd w:id="0"/>
      <w:r>
        <w:rPr>
          <w:rFonts w:ascii="Century Gothic" w:eastAsia="Times New Roman" w:hAnsi="Century Gothic" w:cs="Arial"/>
          <w:sz w:val="20"/>
          <w:szCs w:val="20"/>
          <w:lang w:eastAsia="en-US"/>
        </w:rPr>
        <w:t>..</w:t>
      </w:r>
      <w:r w:rsidRPr="00B67026">
        <w:rPr>
          <w:rFonts w:ascii="Century Gothic" w:eastAsia="Times New Roman" w:hAnsi="Century Gothic" w:cs="Arial"/>
          <w:sz w:val="20"/>
          <w:szCs w:val="20"/>
          <w:lang w:eastAsia="en-US"/>
        </w:rPr>
        <w:t>.</w:t>
      </w:r>
      <w:r w:rsidR="0093051E">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93051E" w:rsidRPr="0093051E" w:rsidRDefault="0093051E" w:rsidP="0093051E">
      <w:pPr>
        <w:pStyle w:val="Textoindependiente2"/>
        <w:tabs>
          <w:tab w:val="clear" w:pos="-720"/>
        </w:tabs>
        <w:spacing w:before="240" w:after="80"/>
        <w:rPr>
          <w:rFonts w:ascii="Century Gothic" w:hAnsi="Century Gothic"/>
          <w:lang w:eastAsia="en-US"/>
        </w:rPr>
      </w:pPr>
      <w:r w:rsidRPr="0093051E">
        <w:rPr>
          <w:rFonts w:ascii="Century Gothic" w:hAnsi="Century Gothic"/>
          <w:b/>
          <w:lang w:eastAsia="en-US"/>
        </w:rPr>
        <w:t>Artículo 107 Ter.</w:t>
      </w:r>
      <w:r w:rsidRPr="0093051E">
        <w:rPr>
          <w:rFonts w:ascii="Century Gothic" w:hAnsi="Century Gothic"/>
          <w:lang w:eastAsia="en-US"/>
        </w:rPr>
        <w:t xml:space="preserve"> El Sistema Anticorrupción del Estado de Jalisco es la instancia de coordinación entre las autoridades estatales y municipales competentes en la prevención, detección y sanción de responsabilidades administrativas y hechos de corrupción, así </w:t>
      </w:r>
      <w:r w:rsidRPr="0093051E">
        <w:rPr>
          <w:rFonts w:ascii="Century Gothic" w:hAnsi="Century Gothic"/>
          <w:lang w:val="es-ES"/>
        </w:rPr>
        <w:t>como</w:t>
      </w:r>
      <w:r w:rsidRPr="0093051E">
        <w:rPr>
          <w:rFonts w:ascii="Century Gothic" w:hAnsi="Century Gothic"/>
          <w:lang w:eastAsia="en-US"/>
        </w:rPr>
        <w:t xml:space="preserve"> la fiscalización y control de recursos públicos, aplicando para tal efecto los tratados internacionales en materia anticorrupción de los que México sea parte y las leyes respectivas.</w:t>
      </w:r>
    </w:p>
    <w:p w:rsidR="0093051E" w:rsidRPr="0093051E" w:rsidRDefault="0093051E" w:rsidP="0093051E">
      <w:pPr>
        <w:spacing w:before="80" w:after="80" w:line="240" w:lineRule="auto"/>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lastRenderedPageBreak/>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93051E" w:rsidRPr="0093051E" w:rsidRDefault="0093051E" w:rsidP="0093051E">
      <w:pPr>
        <w:spacing w:before="80" w:after="80" w:line="240" w:lineRule="auto"/>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Para el cumplimiento de su objeto se sujetará a las siguientes bases mínimas:</w:t>
      </w:r>
    </w:p>
    <w:p w:rsidR="0093051E" w:rsidRPr="0093051E" w:rsidRDefault="0093051E" w:rsidP="0093051E">
      <w:pPr>
        <w:spacing w:before="80" w:after="80" w:line="240" w:lineRule="auto"/>
        <w:ind w:left="708"/>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I. El Sistema Anticorrupción del Estado de Jalisco contará con un Comité Coordinador que estará integrado de la siguiente manera:</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a) Titular de la Auditoría Superior;</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b) Titular de la Fiscalía Especializada en Combate a la Corrupción;</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c) Titular de la Contraloría del Estado;</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d) Titular de la Presidencia del Tribunal de Justicia Administrativa;</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e) Titular de la Presidencia del Instituto de Transparencia, Información Pública y Protección de Datos Personales del Estado de Jalisco;</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f) Un representante del Consejo de la Judicatura; y</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 xml:space="preserve">g) Un representante del Comité de Participación Social. </w:t>
      </w:r>
    </w:p>
    <w:p w:rsidR="0093051E" w:rsidRPr="0093051E" w:rsidRDefault="0093051E" w:rsidP="0093051E">
      <w:pPr>
        <w:spacing w:before="80" w:after="80" w:line="240" w:lineRule="auto"/>
        <w:ind w:left="708"/>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rsidR="0093051E" w:rsidRPr="0093051E" w:rsidRDefault="0093051E" w:rsidP="0093051E">
      <w:pPr>
        <w:spacing w:before="80" w:after="80" w:line="240" w:lineRule="auto"/>
        <w:ind w:left="708"/>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La ley determinará las bases de organización y funcionamiento del Sistema Anticorrupción del Estado de Jalisco.</w:t>
      </w:r>
    </w:p>
    <w:p w:rsidR="0093051E" w:rsidRPr="0093051E" w:rsidRDefault="0093051E" w:rsidP="0093051E">
      <w:pPr>
        <w:spacing w:before="80" w:after="80" w:line="240" w:lineRule="auto"/>
        <w:ind w:left="708"/>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III. Corresponderá al Comité Coordinador del Sistema Estatal Anticorrupción, en los términos que determine la Ley:</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a) El establecimiento de mecanismos de coordinación con el Sistema Nacional Anticorrupción y otras entidades federativas;</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b) El diseño y promoción de políticas integrales en materia de fiscalización y control de recursos públicos, de prevención, control y disuasión de faltas administrativas y hechos de corrupción, en especial sobre las causas que los generan;</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c) La determinación de los mecanismos de suministro, intercambio, sistematización y actualización de la información que sobre estas materias generen las instituciones competentes;</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d) El establecimiento de bases y principios para la efectiva coordinación de las autoridades en materia de fiscalización y control de los recursos públicos; y</w:t>
      </w:r>
    </w:p>
    <w:p w:rsidR="0093051E" w:rsidRPr="0093051E"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lastRenderedPageBreak/>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B96EA8" w:rsidRPr="00B67026" w:rsidRDefault="0093051E" w:rsidP="0093051E">
      <w:pPr>
        <w:spacing w:before="80" w:after="80" w:line="240" w:lineRule="auto"/>
        <w:ind w:left="1416"/>
        <w:jc w:val="both"/>
        <w:rPr>
          <w:rFonts w:ascii="Century Gothic" w:eastAsia="Times New Roman" w:hAnsi="Century Gothic" w:cs="Arial"/>
          <w:sz w:val="20"/>
          <w:szCs w:val="20"/>
          <w:lang w:eastAsia="en-US"/>
        </w:rPr>
      </w:pPr>
      <w:r w:rsidRPr="0093051E">
        <w:rPr>
          <w:rFonts w:ascii="Century Gothic" w:eastAsia="Times New Roman" w:hAnsi="Century Gothic" w:cs="Arial"/>
          <w:sz w:val="20"/>
          <w:szCs w:val="20"/>
          <w:lang w:eastAsia="en-US"/>
        </w:rPr>
        <w:t>La ley determinará las bases de organización y funcionamiento del Sistema Anticorrupción del Estado de Jalisco.</w:t>
      </w:r>
    </w:p>
    <w:sectPr w:rsidR="00B96EA8" w:rsidRPr="00B67026" w:rsidSect="00E553FD">
      <w:headerReference w:type="default" r:id="rId6"/>
      <w:footerReference w:type="default" r:id="rId7"/>
      <w:pgSz w:w="12240" w:h="15840" w:code="1"/>
      <w:pgMar w:top="2552" w:right="1701" w:bottom="1701" w:left="1701" w:header="709"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63" w:rsidRDefault="00EF3963" w:rsidP="00232351">
      <w:pPr>
        <w:spacing w:after="0" w:line="240" w:lineRule="auto"/>
      </w:pPr>
      <w:r>
        <w:separator/>
      </w:r>
    </w:p>
  </w:endnote>
  <w:endnote w:type="continuationSeparator" w:id="0">
    <w:p w:rsidR="00EF3963" w:rsidRDefault="00EF3963"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733770999"/>
      <w:docPartObj>
        <w:docPartGallery w:val="Page Numbers (Bottom of Page)"/>
        <w:docPartUnique/>
      </w:docPartObj>
    </w:sdtPr>
    <w:sdtEndPr/>
    <w:sdtContent>
      <w:sdt>
        <w:sdtPr>
          <w:rPr>
            <w:rFonts w:ascii="Century Gothic" w:hAnsi="Century Gothic"/>
            <w:sz w:val="18"/>
            <w:szCs w:val="18"/>
          </w:rPr>
          <w:id w:val="860082579"/>
          <w:docPartObj>
            <w:docPartGallery w:val="Page Numbers (Top of Page)"/>
            <w:docPartUnique/>
          </w:docPartObj>
        </w:sdtPr>
        <w:sdtEndPr/>
        <w:sdtContent>
          <w:p w:rsidR="00E553FD" w:rsidRPr="00E553FD" w:rsidRDefault="00E553FD" w:rsidP="00E553FD">
            <w:pPr>
              <w:pStyle w:val="Piedepgina"/>
              <w:jc w:val="right"/>
              <w:rPr>
                <w:rFonts w:ascii="Century Gothic" w:hAnsi="Century Gothic"/>
                <w:sz w:val="18"/>
                <w:szCs w:val="18"/>
              </w:rPr>
            </w:pPr>
            <w:r w:rsidRPr="00E553FD">
              <w:rPr>
                <w:rFonts w:ascii="Century Gothic" w:hAnsi="Century Gothic"/>
                <w:sz w:val="18"/>
                <w:szCs w:val="18"/>
                <w:lang w:val="es-ES"/>
              </w:rPr>
              <w:t xml:space="preserve">Página </w:t>
            </w:r>
            <w:r w:rsidRPr="00E553FD">
              <w:rPr>
                <w:rFonts w:ascii="Century Gothic" w:hAnsi="Century Gothic"/>
                <w:bCs/>
                <w:sz w:val="18"/>
                <w:szCs w:val="18"/>
              </w:rPr>
              <w:fldChar w:fldCharType="begin"/>
            </w:r>
            <w:r w:rsidRPr="00E553FD">
              <w:rPr>
                <w:rFonts w:ascii="Century Gothic" w:hAnsi="Century Gothic"/>
                <w:bCs/>
                <w:sz w:val="18"/>
                <w:szCs w:val="18"/>
              </w:rPr>
              <w:instrText>PAGE</w:instrText>
            </w:r>
            <w:r w:rsidRPr="00E553FD">
              <w:rPr>
                <w:rFonts w:ascii="Century Gothic" w:hAnsi="Century Gothic"/>
                <w:bCs/>
                <w:sz w:val="18"/>
                <w:szCs w:val="18"/>
              </w:rPr>
              <w:fldChar w:fldCharType="separate"/>
            </w:r>
            <w:r w:rsidR="0093051E">
              <w:rPr>
                <w:rFonts w:ascii="Century Gothic" w:hAnsi="Century Gothic"/>
                <w:bCs/>
                <w:noProof/>
                <w:sz w:val="18"/>
                <w:szCs w:val="18"/>
              </w:rPr>
              <w:t>5</w:t>
            </w:r>
            <w:r w:rsidRPr="00E553FD">
              <w:rPr>
                <w:rFonts w:ascii="Century Gothic" w:hAnsi="Century Gothic"/>
                <w:bCs/>
                <w:sz w:val="18"/>
                <w:szCs w:val="18"/>
              </w:rPr>
              <w:fldChar w:fldCharType="end"/>
            </w:r>
            <w:r w:rsidRPr="00E553FD">
              <w:rPr>
                <w:rFonts w:ascii="Century Gothic" w:hAnsi="Century Gothic"/>
                <w:sz w:val="18"/>
                <w:szCs w:val="18"/>
                <w:lang w:val="es-ES"/>
              </w:rPr>
              <w:t xml:space="preserve"> de </w:t>
            </w:r>
            <w:r w:rsidRPr="00E553FD">
              <w:rPr>
                <w:rFonts w:ascii="Century Gothic" w:hAnsi="Century Gothic"/>
                <w:bCs/>
                <w:sz w:val="18"/>
                <w:szCs w:val="18"/>
              </w:rPr>
              <w:fldChar w:fldCharType="begin"/>
            </w:r>
            <w:r w:rsidRPr="00E553FD">
              <w:rPr>
                <w:rFonts w:ascii="Century Gothic" w:hAnsi="Century Gothic"/>
                <w:bCs/>
                <w:sz w:val="18"/>
                <w:szCs w:val="18"/>
              </w:rPr>
              <w:instrText>NUMPAGES</w:instrText>
            </w:r>
            <w:r w:rsidRPr="00E553FD">
              <w:rPr>
                <w:rFonts w:ascii="Century Gothic" w:hAnsi="Century Gothic"/>
                <w:bCs/>
                <w:sz w:val="18"/>
                <w:szCs w:val="18"/>
              </w:rPr>
              <w:fldChar w:fldCharType="separate"/>
            </w:r>
            <w:r w:rsidR="0093051E">
              <w:rPr>
                <w:rFonts w:ascii="Century Gothic" w:hAnsi="Century Gothic"/>
                <w:bCs/>
                <w:noProof/>
                <w:sz w:val="18"/>
                <w:szCs w:val="18"/>
              </w:rPr>
              <w:t>5</w:t>
            </w:r>
            <w:r w:rsidRPr="00E553FD">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63" w:rsidRDefault="00EF3963" w:rsidP="00232351">
      <w:pPr>
        <w:spacing w:after="0" w:line="240" w:lineRule="auto"/>
      </w:pPr>
      <w:r>
        <w:separator/>
      </w:r>
    </w:p>
  </w:footnote>
  <w:footnote w:type="continuationSeparator" w:id="0">
    <w:p w:rsidR="00EF3963" w:rsidRDefault="00EF3963"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51" w:rsidRDefault="00232351">
    <w:pPr>
      <w:pStyle w:val="Encabezado"/>
    </w:pPr>
    <w:r>
      <w:rPr>
        <w:noProof/>
      </w:rPr>
      <w:drawing>
        <wp:anchor distT="0" distB="0" distL="114300" distR="114300" simplePos="0" relativeHeight="251658240" behindDoc="1" locked="0" layoutInCell="1" allowOverlap="1" wp14:anchorId="29F16FAC" wp14:editId="2E55D5B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D4AE4"/>
    <w:rsid w:val="00220F30"/>
    <w:rsid w:val="00232351"/>
    <w:rsid w:val="003A2227"/>
    <w:rsid w:val="0058386C"/>
    <w:rsid w:val="007323AC"/>
    <w:rsid w:val="007C0F52"/>
    <w:rsid w:val="007D48E8"/>
    <w:rsid w:val="0093051E"/>
    <w:rsid w:val="00B67026"/>
    <w:rsid w:val="00B9531A"/>
    <w:rsid w:val="00B96EA8"/>
    <w:rsid w:val="00CB52C8"/>
    <w:rsid w:val="00E553FD"/>
    <w:rsid w:val="00EF3963"/>
    <w:rsid w:val="00F4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0BCDF-F12E-45E9-B963-9F27DBC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Kareem Arauza</cp:lastModifiedBy>
  <cp:revision>3</cp:revision>
  <dcterms:created xsi:type="dcterms:W3CDTF">2016-09-21T21:07:00Z</dcterms:created>
  <dcterms:modified xsi:type="dcterms:W3CDTF">2019-11-19T21:38:00Z</dcterms:modified>
</cp:coreProperties>
</file>