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B1" w:rsidRDefault="00E201B1" w:rsidP="00E201B1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C8218F" w:rsidRPr="00FD7F9B" w:rsidRDefault="00C8218F" w:rsidP="00E201B1">
      <w:pPr>
        <w:jc w:val="center"/>
        <w:rPr>
          <w:rFonts w:ascii="Arial" w:hAnsi="Arial" w:cs="Arial"/>
          <w:noProof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hAnsi="Arial" w:cs="Arial"/>
          <w:noProof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D7F9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EEA0FD" wp14:editId="3EA2E04E">
            <wp:extent cx="2695575" cy="1363744"/>
            <wp:effectExtent l="0" t="0" r="0" b="8255"/>
            <wp:docPr id="8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0" t="29953" r="58469" b="3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19" cy="13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F9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C8218F" w:rsidRDefault="00C8218F" w:rsidP="00E201B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hAnsi="Arial" w:cs="Arial"/>
          <w:b/>
          <w:sz w:val="24"/>
          <w:szCs w:val="24"/>
        </w:rPr>
      </w:pPr>
      <w:r w:rsidRPr="00FD7F9B">
        <w:rPr>
          <w:rFonts w:ascii="Arial" w:eastAsia="Arial" w:hAnsi="Arial" w:cs="Arial"/>
          <w:b/>
          <w:color w:val="000000"/>
          <w:sz w:val="24"/>
          <w:szCs w:val="24"/>
        </w:rPr>
        <w:t>Programa Anual de Desarrollo Archivístico 202</w:t>
      </w:r>
      <w:r w:rsidR="00F11CF4" w:rsidRPr="00FD7F9B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Pr="00FD7F9B">
        <w:rPr>
          <w:rFonts w:ascii="Arial" w:eastAsia="Arial" w:hAnsi="Arial" w:cs="Arial"/>
          <w:b/>
          <w:color w:val="000000"/>
          <w:sz w:val="24"/>
          <w:szCs w:val="24"/>
        </w:rPr>
        <w:t xml:space="preserve"> (PADA)</w:t>
      </w: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eastAsia="Arial" w:hAnsi="Arial" w:cs="Arial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eastAsia="Arial" w:hAnsi="Arial" w:cs="Arial"/>
          <w:sz w:val="24"/>
          <w:szCs w:val="24"/>
        </w:rPr>
      </w:pPr>
    </w:p>
    <w:p w:rsidR="00E201B1" w:rsidRPr="00FD7F9B" w:rsidRDefault="00F11CF4" w:rsidP="00E201B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7F9B">
        <w:rPr>
          <w:rFonts w:ascii="Arial" w:eastAsia="Arial" w:hAnsi="Arial" w:cs="Arial"/>
          <w:sz w:val="24"/>
          <w:szCs w:val="24"/>
        </w:rPr>
        <w:t>Guadalajara, Jalisco.</w:t>
      </w:r>
      <w:r w:rsidR="00782DB9" w:rsidRPr="00FD7F9B">
        <w:rPr>
          <w:rFonts w:ascii="Arial" w:eastAsia="Arial" w:hAnsi="Arial" w:cs="Arial"/>
          <w:sz w:val="24"/>
          <w:szCs w:val="24"/>
        </w:rPr>
        <w:t xml:space="preserve"> </w:t>
      </w:r>
      <w:r w:rsidR="007F2E90">
        <w:rPr>
          <w:rFonts w:ascii="Arial" w:eastAsia="Arial" w:hAnsi="Arial" w:cs="Arial"/>
          <w:sz w:val="24"/>
          <w:szCs w:val="24"/>
        </w:rPr>
        <w:t>Enero</w:t>
      </w:r>
      <w:r w:rsidR="00E201B1" w:rsidRPr="00FD7F9B">
        <w:rPr>
          <w:rFonts w:ascii="Arial" w:eastAsia="Arial" w:hAnsi="Arial" w:cs="Arial"/>
          <w:sz w:val="24"/>
          <w:szCs w:val="24"/>
        </w:rPr>
        <w:t xml:space="preserve"> </w:t>
      </w:r>
      <w:r w:rsidR="00E201B1" w:rsidRPr="00FD7F9B">
        <w:rPr>
          <w:rFonts w:ascii="Arial" w:eastAsia="Arial" w:hAnsi="Arial" w:cs="Arial"/>
          <w:color w:val="000000" w:themeColor="text1"/>
          <w:sz w:val="24"/>
          <w:szCs w:val="24"/>
        </w:rPr>
        <w:t>de 202</w:t>
      </w:r>
      <w:r w:rsidRPr="00FD7F9B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E201B1" w:rsidRPr="00FD7F9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C1CA6" w:rsidRPr="0077069D" w:rsidRDefault="006C1CA6" w:rsidP="0077069D">
      <w:pPr>
        <w:jc w:val="both"/>
        <w:rPr>
          <w:rFonts w:ascii="Arial" w:hAnsi="Arial" w:cs="Arial"/>
          <w:sz w:val="24"/>
          <w:szCs w:val="24"/>
        </w:rPr>
      </w:pPr>
      <w:r w:rsidRPr="0077069D">
        <w:rPr>
          <w:rFonts w:ascii="Arial" w:hAnsi="Arial" w:cs="Arial"/>
          <w:sz w:val="24"/>
          <w:szCs w:val="24"/>
        </w:rPr>
        <w:lastRenderedPageBreak/>
        <w:t>Con fundamento en lo establecido en los artículos 28 de la Ley General de Archivos, así como 23, 30 fracción III y Quinto transitorio de la Ley Estatal de Archivos del Estado de Jalisco y sus Municipios, se presenta el Programa Anual de Desarrollo Archivístico 2021, elaborado por el Área Coordinadora de Archivos.</w:t>
      </w:r>
    </w:p>
    <w:p w:rsidR="006C1CA6" w:rsidRDefault="006C1CA6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>Programa Anual</w:t>
      </w:r>
      <w:r w:rsidR="001D5D04" w:rsidRPr="00FD7F9B">
        <w:rPr>
          <w:rFonts w:ascii="Arial" w:hAnsi="Arial" w:cs="Arial"/>
          <w:i/>
          <w:sz w:val="24"/>
          <w:szCs w:val="24"/>
        </w:rPr>
        <w:t xml:space="preserve"> de Desarrollo Archivístico 2022</w:t>
      </w:r>
      <w:r w:rsidRPr="00FD7F9B">
        <w:rPr>
          <w:rFonts w:ascii="Arial" w:hAnsi="Arial" w:cs="Arial"/>
          <w:i/>
          <w:sz w:val="24"/>
          <w:szCs w:val="24"/>
        </w:rPr>
        <w:t xml:space="preserve"> (PADA)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Instituto de Transparencia, Información Pública y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Protección de Datos Personales del Estado de Jalisco.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FD7F9B" w:rsidRPr="00FD7F9B" w:rsidRDefault="00FD7F9B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Instituto de Transparencia, Información Pública y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>Protección de Datos Personales del Estado de Jalisco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Av. Ignacio L. Vallarta #1312, Col. Americana, C.P. 44160,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Guadalajara, Jalisco.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Citación sugerida: Instituto de Transparencia,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>Información Pública y Protección de Datos Personales del</w:t>
      </w:r>
    </w:p>
    <w:p w:rsidR="006861FB" w:rsidRDefault="005E5CDB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 Estado de Jalisco. (202</w:t>
      </w:r>
      <w:r w:rsidR="00FD7F9B" w:rsidRPr="00FD7F9B">
        <w:rPr>
          <w:rFonts w:ascii="Arial" w:hAnsi="Arial" w:cs="Arial"/>
          <w:i/>
          <w:sz w:val="24"/>
          <w:szCs w:val="24"/>
        </w:rPr>
        <w:t>2</w:t>
      </w:r>
      <w:r w:rsidR="00E201B1" w:rsidRPr="00FD7F9B">
        <w:rPr>
          <w:rFonts w:ascii="Arial" w:hAnsi="Arial" w:cs="Arial"/>
          <w:i/>
          <w:sz w:val="24"/>
          <w:szCs w:val="24"/>
        </w:rPr>
        <w:t xml:space="preserve">) 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>Programa Anual de Desarrollo Archivístico 202</w:t>
      </w:r>
      <w:r w:rsidR="00FD7F9B" w:rsidRPr="00FD7F9B">
        <w:rPr>
          <w:rFonts w:ascii="Arial" w:hAnsi="Arial" w:cs="Arial"/>
          <w:i/>
          <w:sz w:val="24"/>
          <w:szCs w:val="24"/>
        </w:rPr>
        <w:t>2</w:t>
      </w:r>
      <w:r w:rsidRPr="00FD7F9B">
        <w:rPr>
          <w:rFonts w:ascii="Arial" w:hAnsi="Arial" w:cs="Arial"/>
          <w:i/>
          <w:sz w:val="24"/>
          <w:szCs w:val="24"/>
        </w:rPr>
        <w:t xml:space="preserve"> (PADA)</w:t>
      </w:r>
    </w:p>
    <w:p w:rsidR="00E201B1" w:rsidRPr="00FD7F9B" w:rsidRDefault="00E201B1" w:rsidP="00E201B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7F9B">
        <w:rPr>
          <w:rFonts w:ascii="Arial" w:hAnsi="Arial" w:cs="Arial"/>
          <w:i/>
          <w:sz w:val="24"/>
          <w:szCs w:val="24"/>
        </w:rPr>
        <w:t xml:space="preserve">Disponible en: </w:t>
      </w:r>
      <w:hyperlink r:id="rId8" w:history="1">
        <w:r w:rsidR="0039426B" w:rsidRPr="00825E6E">
          <w:rPr>
            <w:rStyle w:val="Hipervnculo"/>
          </w:rPr>
          <w:t>https://www.itei.org.mx/v4/index.php/transparencia/fraccion/art8-13</w:t>
        </w:r>
      </w:hyperlink>
    </w:p>
    <w:p w:rsidR="00E201B1" w:rsidRPr="00FD7F9B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D7F9B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5E71B2" w:rsidRPr="00FD7F9B" w:rsidRDefault="005E71B2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D7F9B" w:rsidRDefault="00E201B1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FD7F9B" w:rsidRPr="00FD7F9B" w:rsidRDefault="00FD7F9B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D7F9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 w:type="page"/>
      </w:r>
    </w:p>
    <w:p w:rsidR="00E201B1" w:rsidRPr="00FD7F9B" w:rsidRDefault="00E201B1" w:rsidP="000B3BF4">
      <w:pPr>
        <w:jc w:val="center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D7F9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Contenido</w:t>
      </w:r>
    </w:p>
    <w:p w:rsidR="00E201B1" w:rsidRPr="00FD7F9B" w:rsidRDefault="00E201B1" w:rsidP="00425DE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1079D" w:rsidRPr="00FD7F9B" w:rsidRDefault="0061079D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Presentación</w:t>
      </w:r>
    </w:p>
    <w:p w:rsidR="00E201B1" w:rsidRPr="00DF6722" w:rsidRDefault="0061079D" w:rsidP="00FD7F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6722">
        <w:rPr>
          <w:rFonts w:ascii="Arial" w:hAnsi="Arial" w:cs="Arial"/>
          <w:sz w:val="24"/>
          <w:szCs w:val="24"/>
        </w:rPr>
        <w:t>Marco de R</w:t>
      </w:r>
      <w:r w:rsidR="00E201B1" w:rsidRPr="00DF6722">
        <w:rPr>
          <w:rFonts w:ascii="Arial" w:hAnsi="Arial" w:cs="Arial"/>
          <w:sz w:val="24"/>
          <w:szCs w:val="24"/>
        </w:rPr>
        <w:t xml:space="preserve">eferencia </w:t>
      </w:r>
    </w:p>
    <w:p w:rsidR="00FD7F9B" w:rsidRPr="00DF6722" w:rsidRDefault="00E201B1" w:rsidP="00FD7F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6722">
        <w:rPr>
          <w:rFonts w:ascii="Arial" w:hAnsi="Arial" w:cs="Arial"/>
          <w:sz w:val="24"/>
          <w:szCs w:val="24"/>
        </w:rPr>
        <w:t>Justificación</w:t>
      </w:r>
    </w:p>
    <w:p w:rsidR="00E201B1" w:rsidRPr="00FD7F9B" w:rsidRDefault="00E201B1" w:rsidP="00E201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Objetivos</w:t>
      </w:r>
    </w:p>
    <w:p w:rsidR="00E201B1" w:rsidRPr="00FD7F9B" w:rsidRDefault="0061079D" w:rsidP="00E201B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3.1.</w:t>
      </w:r>
      <w:r w:rsidR="00E201B1" w:rsidRPr="00FD7F9B">
        <w:rPr>
          <w:rFonts w:ascii="Arial" w:hAnsi="Arial" w:cs="Arial"/>
          <w:sz w:val="24"/>
          <w:szCs w:val="24"/>
        </w:rPr>
        <w:t xml:space="preserve"> </w:t>
      </w:r>
      <w:r w:rsidRPr="00FD7F9B">
        <w:rPr>
          <w:rFonts w:ascii="Arial" w:hAnsi="Arial" w:cs="Arial"/>
          <w:sz w:val="24"/>
          <w:szCs w:val="24"/>
        </w:rPr>
        <w:t>Generales</w:t>
      </w:r>
    </w:p>
    <w:p w:rsidR="00FD7F9B" w:rsidRPr="00FD7F9B" w:rsidRDefault="0061079D" w:rsidP="00E201B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3.2. Es</w:t>
      </w:r>
      <w:r w:rsidR="00E201B1" w:rsidRPr="00FD7F9B">
        <w:rPr>
          <w:rFonts w:ascii="Arial" w:hAnsi="Arial" w:cs="Arial"/>
          <w:sz w:val="24"/>
          <w:szCs w:val="24"/>
        </w:rPr>
        <w:t>pecíficos</w:t>
      </w:r>
    </w:p>
    <w:p w:rsidR="00E201B1" w:rsidRPr="00FD7F9B" w:rsidRDefault="003B4F1F" w:rsidP="00E201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Programación</w:t>
      </w:r>
      <w:r w:rsidR="00E201B1" w:rsidRPr="00FD7F9B">
        <w:rPr>
          <w:rFonts w:ascii="Arial" w:hAnsi="Arial" w:cs="Arial"/>
          <w:sz w:val="24"/>
          <w:szCs w:val="24"/>
        </w:rPr>
        <w:t xml:space="preserve">                         </w:t>
      </w:r>
    </w:p>
    <w:p w:rsidR="0061079D" w:rsidRPr="00FD7F9B" w:rsidRDefault="0061079D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 xml:space="preserve">4.1. </w:t>
      </w:r>
      <w:r w:rsidR="00964A81" w:rsidRPr="00FD7F9B">
        <w:rPr>
          <w:rFonts w:ascii="Arial" w:hAnsi="Arial" w:cs="Arial"/>
          <w:sz w:val="24"/>
          <w:szCs w:val="24"/>
        </w:rPr>
        <w:t>Alcance</w:t>
      </w:r>
    </w:p>
    <w:p w:rsidR="00964A81" w:rsidRPr="00FD7F9B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4.2. Entregables</w:t>
      </w:r>
    </w:p>
    <w:p w:rsidR="00964A81" w:rsidRPr="00FD7F9B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 xml:space="preserve">4.3. </w:t>
      </w:r>
      <w:r w:rsidR="00DF6722">
        <w:rPr>
          <w:rFonts w:ascii="Arial" w:hAnsi="Arial" w:cs="Arial"/>
          <w:sz w:val="24"/>
          <w:szCs w:val="24"/>
        </w:rPr>
        <w:t xml:space="preserve">Calendarización de </w:t>
      </w:r>
      <w:r w:rsidRPr="00FD7F9B">
        <w:rPr>
          <w:rFonts w:ascii="Arial" w:hAnsi="Arial" w:cs="Arial"/>
          <w:sz w:val="24"/>
          <w:szCs w:val="24"/>
        </w:rPr>
        <w:t>Actividades</w:t>
      </w:r>
    </w:p>
    <w:p w:rsidR="00964A81" w:rsidRPr="00FD7F9B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4.4. Recursos Humanos y Materiales</w:t>
      </w:r>
    </w:p>
    <w:p w:rsidR="00964A81" w:rsidRPr="00FD7F9B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ab/>
        <w:t>4.4.1. Humanos</w:t>
      </w:r>
    </w:p>
    <w:p w:rsidR="00964A81" w:rsidRPr="00FD7F9B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ab/>
        <w:t>4.4.2. Materiales</w:t>
      </w:r>
    </w:p>
    <w:p w:rsidR="00964A81" w:rsidRPr="00FD7F9B" w:rsidRDefault="00DF6722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964A81" w:rsidRPr="00DF6722">
        <w:rPr>
          <w:rFonts w:ascii="Arial" w:hAnsi="Arial" w:cs="Arial"/>
          <w:sz w:val="24"/>
          <w:szCs w:val="24"/>
        </w:rPr>
        <w:t>Costos</w:t>
      </w:r>
      <w:r w:rsidR="00964A81" w:rsidRPr="00FD7F9B">
        <w:rPr>
          <w:rFonts w:ascii="Arial" w:hAnsi="Arial" w:cs="Arial"/>
          <w:sz w:val="24"/>
          <w:szCs w:val="24"/>
        </w:rPr>
        <w:tab/>
      </w:r>
    </w:p>
    <w:p w:rsidR="00FD7F9B" w:rsidRPr="00DF6722" w:rsidRDefault="00DF6722" w:rsidP="00FD7F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6722">
        <w:rPr>
          <w:rFonts w:ascii="Arial" w:hAnsi="Arial" w:cs="Arial"/>
          <w:sz w:val="24"/>
          <w:szCs w:val="24"/>
        </w:rPr>
        <w:t xml:space="preserve">Análisis de </w:t>
      </w:r>
      <w:r w:rsidR="00964A81" w:rsidRPr="00DF6722">
        <w:rPr>
          <w:rFonts w:ascii="Arial" w:hAnsi="Arial" w:cs="Arial"/>
          <w:sz w:val="24"/>
          <w:szCs w:val="24"/>
        </w:rPr>
        <w:t>Riesgos</w:t>
      </w:r>
    </w:p>
    <w:p w:rsidR="00964A81" w:rsidRPr="00FD7F9B" w:rsidRDefault="00964A81" w:rsidP="00964A8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Marco Normativo</w:t>
      </w:r>
    </w:p>
    <w:p w:rsidR="0061079D" w:rsidRPr="00FD7F9B" w:rsidRDefault="0061079D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1079D" w:rsidRPr="00FD7F9B" w:rsidRDefault="0061079D" w:rsidP="00964A81">
      <w:pPr>
        <w:rPr>
          <w:rFonts w:ascii="Arial" w:hAnsi="Arial" w:cs="Arial"/>
          <w:sz w:val="24"/>
          <w:szCs w:val="24"/>
        </w:rPr>
      </w:pPr>
    </w:p>
    <w:p w:rsidR="00E201B1" w:rsidRPr="00FD7F9B" w:rsidRDefault="00E201B1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E201B1" w:rsidRPr="00FD7F9B" w:rsidRDefault="00E201B1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DF6722" w:rsidRDefault="00DF6722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</w:p>
    <w:p w:rsidR="00DF6722" w:rsidRDefault="00DF6722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 w:type="page"/>
      </w:r>
    </w:p>
    <w:p w:rsidR="00964A81" w:rsidRPr="00FD7F9B" w:rsidRDefault="005229CE" w:rsidP="00964A81">
      <w:pPr>
        <w:pStyle w:val="Prrafodelista"/>
        <w:spacing w:after="0" w:line="360" w:lineRule="auto"/>
        <w:ind w:left="1080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Presentación</w:t>
      </w:r>
    </w:p>
    <w:p w:rsidR="002E4398" w:rsidRPr="00FD7F9B" w:rsidRDefault="00C94B0F" w:rsidP="00D574F2">
      <w:pPr>
        <w:jc w:val="both"/>
        <w:rPr>
          <w:rFonts w:ascii="Arial" w:hAnsi="Arial" w:cs="Arial"/>
          <w:sz w:val="24"/>
          <w:szCs w:val="24"/>
        </w:rPr>
      </w:pPr>
      <w:r w:rsidRPr="00C94B0F">
        <w:rPr>
          <w:rFonts w:ascii="Arial" w:hAnsi="Arial" w:cs="Arial"/>
          <w:sz w:val="24"/>
          <w:szCs w:val="24"/>
        </w:rPr>
        <w:t>En cumplimiento a lo establecido en el artículo 22 de la Ley de Archivos del Estado de Jalisco y sus Municipios</w:t>
      </w:r>
      <w:r w:rsidR="00FD7F9B" w:rsidRPr="00FD7F9B">
        <w:rPr>
          <w:rFonts w:ascii="Arial" w:hAnsi="Arial" w:cs="Arial"/>
          <w:sz w:val="24"/>
          <w:szCs w:val="24"/>
        </w:rPr>
        <w:t>, los sujetos obligados que cuenten con un Sistema Institucional de Archivos, deberán elaborar un Programa Anual de</w:t>
      </w:r>
      <w:r w:rsidR="00473089">
        <w:rPr>
          <w:rFonts w:ascii="Arial" w:hAnsi="Arial" w:cs="Arial"/>
          <w:sz w:val="24"/>
          <w:szCs w:val="24"/>
        </w:rPr>
        <w:t xml:space="preserve"> Desarrollo Archivístico (PADA)</w:t>
      </w:r>
      <w:r w:rsidR="00FD7F9B" w:rsidRPr="00FD7F9B">
        <w:rPr>
          <w:rFonts w:ascii="Arial" w:hAnsi="Arial" w:cs="Arial"/>
          <w:sz w:val="24"/>
          <w:szCs w:val="24"/>
        </w:rPr>
        <w:t>, mismo que contemple programas y acciones institucionales para la actualización y mejoramiento continuo en la organización, conservación, disponibilidad, integridad y localización de los documentos, el cual deberá ser publicado en el portal de Internet del ITEI, así corno sus respectivos informes anuales.</w:t>
      </w:r>
    </w:p>
    <w:p w:rsidR="000A0389" w:rsidRPr="00FD7F9B" w:rsidRDefault="00FD7F9B" w:rsidP="000A0389">
      <w:pPr>
        <w:jc w:val="both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 xml:space="preserve">Para tales efectos, </w:t>
      </w:r>
      <w:r w:rsidR="000A0389" w:rsidRPr="00FD7F9B">
        <w:rPr>
          <w:rFonts w:ascii="Arial" w:hAnsi="Arial" w:cs="Arial"/>
          <w:sz w:val="24"/>
          <w:szCs w:val="24"/>
        </w:rPr>
        <w:t xml:space="preserve">se presenta el Programa Anual de Desarrollo Archivístico 2022, instrumento mediante el cual se establecen de manera secuencial las actividades a realizar </w:t>
      </w:r>
      <w:r w:rsidR="000A0389">
        <w:rPr>
          <w:rFonts w:ascii="Arial" w:hAnsi="Arial" w:cs="Arial"/>
          <w:sz w:val="24"/>
          <w:szCs w:val="24"/>
        </w:rPr>
        <w:t>durante el ejercicio fiscal 2022</w:t>
      </w:r>
      <w:r w:rsidR="00C94B0F">
        <w:rPr>
          <w:rFonts w:ascii="Arial" w:hAnsi="Arial" w:cs="Arial"/>
          <w:sz w:val="24"/>
          <w:szCs w:val="24"/>
        </w:rPr>
        <w:t>.</w:t>
      </w:r>
    </w:p>
    <w:p w:rsidR="00D574F2" w:rsidRPr="00FD7F9B" w:rsidRDefault="00D574F2" w:rsidP="00D574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B1" w:rsidRPr="00C86679" w:rsidRDefault="00E201B1" w:rsidP="00C8667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C86679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Marco de Referencia.</w:t>
      </w:r>
    </w:p>
    <w:p w:rsidR="000A0389" w:rsidRPr="000A0389" w:rsidRDefault="000A0389" w:rsidP="000A0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A0389">
        <w:rPr>
          <w:rFonts w:ascii="Arial" w:hAnsi="Arial" w:cs="Arial"/>
          <w:sz w:val="24"/>
          <w:szCs w:val="24"/>
        </w:rPr>
        <w:t>Instituto de Transp</w:t>
      </w:r>
      <w:r>
        <w:rPr>
          <w:rFonts w:ascii="Arial" w:hAnsi="Arial" w:cs="Arial"/>
          <w:sz w:val="24"/>
          <w:szCs w:val="24"/>
        </w:rPr>
        <w:t xml:space="preserve">arencia, Información Pública y </w:t>
      </w:r>
      <w:r w:rsidRPr="000A0389">
        <w:rPr>
          <w:rFonts w:ascii="Arial" w:hAnsi="Arial" w:cs="Arial"/>
          <w:sz w:val="24"/>
          <w:szCs w:val="24"/>
        </w:rPr>
        <w:t>Protección de Datos Personales del Estado de Jalisco</w:t>
      </w:r>
      <w:r w:rsidR="009D3EF2" w:rsidRPr="009D3EF2">
        <w:rPr>
          <w:rFonts w:ascii="Arial" w:hAnsi="Arial" w:cs="Arial"/>
          <w:sz w:val="24"/>
          <w:szCs w:val="24"/>
        </w:rPr>
        <w:t xml:space="preserve"> es un organismo público autónomo con personalidad jurídica y patrimonio propios, con autonomía en sus funciones e independencia en sus decisiones y tiene como funciones, promover la transparencia, garantizar el acceso a la información pública de libre acceso y proteger la información pública reservada y confidencial</w:t>
      </w:r>
      <w:r w:rsidR="009D3EF2">
        <w:rPr>
          <w:rFonts w:ascii="Arial" w:hAnsi="Arial" w:cs="Arial"/>
          <w:sz w:val="24"/>
          <w:szCs w:val="24"/>
        </w:rPr>
        <w:t xml:space="preserve"> </w:t>
      </w:r>
      <w:r w:rsidRPr="000A0389">
        <w:rPr>
          <w:rFonts w:ascii="Arial" w:hAnsi="Arial" w:cs="Arial"/>
          <w:sz w:val="24"/>
          <w:szCs w:val="24"/>
        </w:rPr>
        <w:t xml:space="preserve">, a través de las funciones y atribuciones que les son conferidas en el Reglamento Interior del </w:t>
      </w:r>
      <w:r w:rsidR="00515A0A">
        <w:rPr>
          <w:rFonts w:ascii="Arial" w:hAnsi="Arial" w:cs="Arial"/>
          <w:sz w:val="24"/>
          <w:szCs w:val="24"/>
        </w:rPr>
        <w:t>Instituto</w:t>
      </w:r>
      <w:r w:rsidRPr="000A0389">
        <w:rPr>
          <w:rFonts w:ascii="Arial" w:hAnsi="Arial" w:cs="Arial"/>
          <w:sz w:val="24"/>
          <w:szCs w:val="24"/>
        </w:rPr>
        <w:t>.</w:t>
      </w:r>
    </w:p>
    <w:p w:rsidR="00A27ABA" w:rsidRDefault="00A921E5" w:rsidP="000A0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27ABA">
        <w:rPr>
          <w:rFonts w:ascii="Arial" w:hAnsi="Arial" w:cs="Arial"/>
          <w:sz w:val="24"/>
          <w:szCs w:val="24"/>
        </w:rPr>
        <w:t xml:space="preserve">ITEI </w:t>
      </w:r>
      <w:r>
        <w:rPr>
          <w:rFonts w:ascii="Arial" w:hAnsi="Arial" w:cs="Arial"/>
          <w:sz w:val="24"/>
          <w:szCs w:val="24"/>
        </w:rPr>
        <w:t xml:space="preserve">desde la perspectiva de sus componentes, </w:t>
      </w:r>
      <w:r w:rsidR="00A27ABA">
        <w:rPr>
          <w:rFonts w:ascii="Arial" w:hAnsi="Arial" w:cs="Arial"/>
          <w:sz w:val="24"/>
          <w:szCs w:val="24"/>
        </w:rPr>
        <w:t xml:space="preserve">en sí mismo constituye un sistema (conjunto de partes que interactúan para alcanzar objetivos comunes); es decir, está inmerso en un medio ambiente general y específico, posee tanto una </w:t>
      </w:r>
      <w:r>
        <w:rPr>
          <w:rFonts w:ascii="Arial" w:hAnsi="Arial" w:cs="Arial"/>
          <w:sz w:val="24"/>
          <w:szCs w:val="24"/>
        </w:rPr>
        <w:t xml:space="preserve">normatividad, una </w:t>
      </w:r>
      <w:r w:rsidR="00A27ABA">
        <w:rPr>
          <w:rFonts w:ascii="Arial" w:hAnsi="Arial" w:cs="Arial"/>
          <w:sz w:val="24"/>
          <w:szCs w:val="24"/>
        </w:rPr>
        <w:t xml:space="preserve">estructura orgánica como funciones, recursos </w:t>
      </w:r>
      <w:r w:rsidR="00094612">
        <w:rPr>
          <w:rFonts w:ascii="Arial" w:hAnsi="Arial" w:cs="Arial"/>
          <w:sz w:val="24"/>
          <w:szCs w:val="24"/>
        </w:rPr>
        <w:t xml:space="preserve">e información que interactúan para el cumplimiento de un fin común: ser el órgano garante del derecho al acceso de la información pública para promover la transparencia gubernamental, la rendición de cuentas, la protección de datos personales y el fortalecimiento de una cultura de gobernabilidad democrática del Estado de Jalisco.  </w:t>
      </w:r>
      <w:r w:rsidR="00A27ABA">
        <w:rPr>
          <w:rFonts w:ascii="Arial" w:hAnsi="Arial" w:cs="Arial"/>
          <w:sz w:val="24"/>
          <w:szCs w:val="24"/>
        </w:rPr>
        <w:t xml:space="preserve">  </w:t>
      </w:r>
    </w:p>
    <w:p w:rsidR="006861FB" w:rsidRDefault="006861FB" w:rsidP="000A0389">
      <w:pPr>
        <w:jc w:val="both"/>
        <w:rPr>
          <w:rFonts w:ascii="Arial" w:hAnsi="Arial" w:cs="Arial"/>
          <w:sz w:val="24"/>
          <w:szCs w:val="24"/>
        </w:rPr>
      </w:pPr>
    </w:p>
    <w:p w:rsidR="00034806" w:rsidRDefault="00034806" w:rsidP="000A0389">
      <w:pPr>
        <w:jc w:val="both"/>
        <w:rPr>
          <w:rFonts w:ascii="Arial" w:hAnsi="Arial" w:cs="Arial"/>
          <w:sz w:val="24"/>
          <w:szCs w:val="24"/>
        </w:rPr>
      </w:pPr>
    </w:p>
    <w:p w:rsidR="000A0389" w:rsidRDefault="00094612" w:rsidP="000A03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Bajo esta perspectiva, </w:t>
      </w:r>
      <w:r w:rsidR="000A0389" w:rsidRPr="000A0389">
        <w:rPr>
          <w:rFonts w:ascii="Arial" w:hAnsi="Arial" w:cs="Arial"/>
          <w:sz w:val="24"/>
          <w:szCs w:val="24"/>
        </w:rPr>
        <w:t xml:space="preserve">las Unidades Administrativas </w:t>
      </w:r>
      <w:r w:rsidR="00515A0A">
        <w:rPr>
          <w:rFonts w:ascii="Arial" w:hAnsi="Arial" w:cs="Arial"/>
          <w:sz w:val="24"/>
          <w:szCs w:val="24"/>
        </w:rPr>
        <w:t xml:space="preserve">que integran la estructura orgánica del Institutito </w:t>
      </w:r>
      <w:r w:rsidR="000A0389" w:rsidRPr="000A0389">
        <w:rPr>
          <w:rFonts w:ascii="Arial" w:hAnsi="Arial" w:cs="Arial"/>
          <w:sz w:val="24"/>
          <w:szCs w:val="24"/>
        </w:rPr>
        <w:t xml:space="preserve">realizan actividades de forma cotidiana para el cumplimiento de sus objetivos, generando una gran cantidad de documentos que se integran en expedientes organizados y clasificados archivísticamente, que exigen al </w:t>
      </w:r>
      <w:r w:rsidR="00515A0A">
        <w:rPr>
          <w:rFonts w:ascii="Arial" w:hAnsi="Arial" w:cs="Arial"/>
          <w:sz w:val="24"/>
          <w:szCs w:val="24"/>
        </w:rPr>
        <w:t>ITEI</w:t>
      </w:r>
      <w:r w:rsidR="000A0389" w:rsidRPr="000A0389">
        <w:rPr>
          <w:rFonts w:ascii="Arial" w:hAnsi="Arial" w:cs="Arial"/>
          <w:sz w:val="24"/>
          <w:szCs w:val="24"/>
        </w:rPr>
        <w:t xml:space="preserve"> como sujeto obligado</w:t>
      </w:r>
      <w:r w:rsidR="003B4F1F">
        <w:rPr>
          <w:rFonts w:ascii="Arial" w:hAnsi="Arial" w:cs="Arial"/>
          <w:sz w:val="24"/>
          <w:szCs w:val="24"/>
        </w:rPr>
        <w:t>,</w:t>
      </w:r>
      <w:r w:rsidR="000A0389" w:rsidRPr="000A0389">
        <w:rPr>
          <w:rFonts w:ascii="Arial" w:hAnsi="Arial" w:cs="Arial"/>
          <w:sz w:val="24"/>
          <w:szCs w:val="24"/>
        </w:rPr>
        <w:t xml:space="preserve"> contar con un Sistema Institucional de Archivos, </w:t>
      </w:r>
      <w:r w:rsidR="00DA5C26">
        <w:rPr>
          <w:rFonts w:ascii="Arial" w:hAnsi="Arial" w:cs="Arial"/>
          <w:sz w:val="24"/>
          <w:szCs w:val="24"/>
        </w:rPr>
        <w:t xml:space="preserve">un Área Coordinadora de Archivos, </w:t>
      </w:r>
      <w:r w:rsidR="000A0389" w:rsidRPr="000A0389">
        <w:rPr>
          <w:rFonts w:ascii="Arial" w:hAnsi="Arial" w:cs="Arial"/>
          <w:sz w:val="24"/>
          <w:szCs w:val="24"/>
        </w:rPr>
        <w:t>Grupo lnterd</w:t>
      </w:r>
      <w:r w:rsidR="00515A0A">
        <w:rPr>
          <w:rFonts w:ascii="Arial" w:hAnsi="Arial" w:cs="Arial"/>
          <w:sz w:val="24"/>
          <w:szCs w:val="24"/>
        </w:rPr>
        <w:t>isciplinari</w:t>
      </w:r>
      <w:r w:rsidR="00DA5C26">
        <w:rPr>
          <w:rFonts w:ascii="Arial" w:hAnsi="Arial" w:cs="Arial"/>
          <w:sz w:val="24"/>
          <w:szCs w:val="24"/>
        </w:rPr>
        <w:t>o de Archivos,</w:t>
      </w:r>
      <w:r w:rsidR="000A0389" w:rsidRPr="000A0389">
        <w:rPr>
          <w:rFonts w:ascii="Arial" w:hAnsi="Arial" w:cs="Arial"/>
          <w:sz w:val="24"/>
          <w:szCs w:val="24"/>
        </w:rPr>
        <w:t xml:space="preserve"> Instrumentos de Control y Consulta Archivístico vigentes (Cuadro General de Clasificación Archivística</w:t>
      </w:r>
      <w:r w:rsidR="00DA5C26">
        <w:rPr>
          <w:rFonts w:ascii="Arial" w:hAnsi="Arial" w:cs="Arial"/>
          <w:sz w:val="24"/>
          <w:szCs w:val="24"/>
        </w:rPr>
        <w:t>,</w:t>
      </w:r>
      <w:r w:rsidR="000A0389" w:rsidRPr="000A0389">
        <w:rPr>
          <w:rFonts w:ascii="Arial" w:hAnsi="Arial" w:cs="Arial"/>
          <w:sz w:val="24"/>
          <w:szCs w:val="24"/>
        </w:rPr>
        <w:t xml:space="preserve"> Catálogo de </w:t>
      </w:r>
      <w:r w:rsidR="00DA5C26" w:rsidRPr="000A0389">
        <w:rPr>
          <w:rFonts w:ascii="Arial" w:hAnsi="Arial" w:cs="Arial"/>
          <w:sz w:val="24"/>
          <w:szCs w:val="24"/>
        </w:rPr>
        <w:t>Disposición</w:t>
      </w:r>
      <w:r w:rsidR="000A0389" w:rsidRPr="000A0389">
        <w:rPr>
          <w:rFonts w:ascii="Arial" w:hAnsi="Arial" w:cs="Arial"/>
          <w:sz w:val="24"/>
          <w:szCs w:val="24"/>
        </w:rPr>
        <w:t xml:space="preserve"> Documental</w:t>
      </w:r>
      <w:r w:rsidR="00092EE4">
        <w:rPr>
          <w:rFonts w:ascii="Arial" w:hAnsi="Arial" w:cs="Arial"/>
          <w:sz w:val="24"/>
          <w:szCs w:val="24"/>
        </w:rPr>
        <w:t xml:space="preserve"> e </w:t>
      </w:r>
      <w:r w:rsidR="000A0389" w:rsidRPr="000A0389">
        <w:rPr>
          <w:rFonts w:ascii="Arial" w:hAnsi="Arial" w:cs="Arial"/>
          <w:sz w:val="24"/>
          <w:szCs w:val="24"/>
        </w:rPr>
        <w:t xml:space="preserve">lnventarios </w:t>
      </w:r>
      <w:r w:rsidR="00092EE4">
        <w:rPr>
          <w:rFonts w:ascii="Arial" w:hAnsi="Arial" w:cs="Arial"/>
          <w:sz w:val="24"/>
          <w:szCs w:val="24"/>
        </w:rPr>
        <w:t>D</w:t>
      </w:r>
      <w:r w:rsidR="000A0389" w:rsidRPr="000A0389">
        <w:rPr>
          <w:rFonts w:ascii="Arial" w:hAnsi="Arial" w:cs="Arial"/>
          <w:sz w:val="24"/>
          <w:szCs w:val="24"/>
        </w:rPr>
        <w:t>ocumentales</w:t>
      </w:r>
      <w:r w:rsidR="00092EE4">
        <w:rPr>
          <w:rFonts w:ascii="Arial" w:hAnsi="Arial" w:cs="Arial"/>
          <w:sz w:val="24"/>
          <w:szCs w:val="24"/>
        </w:rPr>
        <w:t>),así como</w:t>
      </w:r>
      <w:r w:rsidR="000A0389" w:rsidRPr="000A0389">
        <w:rPr>
          <w:rFonts w:ascii="Arial" w:hAnsi="Arial" w:cs="Arial"/>
          <w:sz w:val="24"/>
          <w:szCs w:val="24"/>
        </w:rPr>
        <w:t xml:space="preserve"> </w:t>
      </w:r>
      <w:r w:rsidR="00092EE4">
        <w:rPr>
          <w:rFonts w:ascii="Arial" w:hAnsi="Arial" w:cs="Arial"/>
          <w:sz w:val="24"/>
          <w:szCs w:val="24"/>
        </w:rPr>
        <w:t xml:space="preserve">la Guía de Archivo </w:t>
      </w:r>
      <w:r w:rsidR="000A0389" w:rsidRPr="000A0389">
        <w:rPr>
          <w:rFonts w:ascii="Arial" w:hAnsi="Arial" w:cs="Arial"/>
          <w:sz w:val="24"/>
          <w:szCs w:val="24"/>
        </w:rPr>
        <w:t>Documental, que le ha permitido tener una adecuada y oportuna gestión de las áreas productoras, archivos de trámite y concentración en  las distintas etapas del ciclo vital d</w:t>
      </w:r>
      <w:r w:rsidR="00C70782">
        <w:rPr>
          <w:rFonts w:ascii="Arial" w:hAnsi="Arial" w:cs="Arial"/>
          <w:sz w:val="24"/>
          <w:szCs w:val="24"/>
        </w:rPr>
        <w:t xml:space="preserve">e la </w:t>
      </w:r>
      <w:r w:rsidR="000A0389" w:rsidRPr="000A0389">
        <w:rPr>
          <w:rFonts w:ascii="Arial" w:hAnsi="Arial" w:cs="Arial"/>
          <w:sz w:val="24"/>
          <w:szCs w:val="24"/>
        </w:rPr>
        <w:t>documentación.</w:t>
      </w:r>
    </w:p>
    <w:p w:rsidR="00C86679" w:rsidRDefault="00C86679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E201B1" w:rsidRPr="00C86679" w:rsidRDefault="00E201B1" w:rsidP="00C8667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C86679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Justificación.</w:t>
      </w:r>
    </w:p>
    <w:p w:rsidR="00C70782" w:rsidRPr="00C70782" w:rsidRDefault="00C70782" w:rsidP="00C70782">
      <w:pPr>
        <w:jc w:val="both"/>
        <w:rPr>
          <w:rFonts w:ascii="Arial" w:hAnsi="Arial" w:cs="Arial"/>
          <w:sz w:val="24"/>
          <w:szCs w:val="24"/>
        </w:rPr>
      </w:pPr>
      <w:r w:rsidRPr="00C70782">
        <w:rPr>
          <w:rFonts w:ascii="Arial" w:hAnsi="Arial" w:cs="Arial"/>
          <w:sz w:val="24"/>
          <w:szCs w:val="24"/>
        </w:rPr>
        <w:t>A través del PADA, la Coordinación de Archivos busca proporcionar las herramientas que permitan al Sist</w:t>
      </w:r>
      <w:r>
        <w:rPr>
          <w:rFonts w:ascii="Arial" w:hAnsi="Arial" w:cs="Arial"/>
          <w:sz w:val="24"/>
          <w:szCs w:val="24"/>
        </w:rPr>
        <w:t>ema  Institucional de Archivos</w:t>
      </w:r>
      <w:r w:rsidRPr="00C70782">
        <w:rPr>
          <w:rFonts w:ascii="Arial" w:hAnsi="Arial" w:cs="Arial"/>
          <w:sz w:val="24"/>
          <w:szCs w:val="24"/>
        </w:rPr>
        <w:t xml:space="preserve"> tener personal capacitado en  los procesos del ciclo vital de la documentación (activa, semiactiva, baja documental</w:t>
      </w:r>
      <w:r>
        <w:rPr>
          <w:rFonts w:ascii="Arial" w:hAnsi="Arial" w:cs="Arial"/>
          <w:sz w:val="24"/>
          <w:szCs w:val="24"/>
        </w:rPr>
        <w:t xml:space="preserve"> y/o transferencia secundaria), </w:t>
      </w:r>
      <w:r w:rsidRPr="00C70782">
        <w:rPr>
          <w:rFonts w:ascii="Arial" w:hAnsi="Arial" w:cs="Arial"/>
          <w:sz w:val="24"/>
          <w:szCs w:val="24"/>
        </w:rPr>
        <w:t xml:space="preserve">propiciando una mejora continua, generando la información disponible y expedita, </w:t>
      </w:r>
      <w:r>
        <w:rPr>
          <w:rFonts w:ascii="Arial" w:hAnsi="Arial" w:cs="Arial"/>
          <w:sz w:val="24"/>
          <w:szCs w:val="24"/>
        </w:rPr>
        <w:t>asimismo</w:t>
      </w:r>
      <w:r w:rsidRPr="00C70782">
        <w:rPr>
          <w:rFonts w:ascii="Arial" w:hAnsi="Arial" w:cs="Arial"/>
          <w:sz w:val="24"/>
          <w:szCs w:val="24"/>
        </w:rPr>
        <w:t xml:space="preserve"> permit</w:t>
      </w:r>
      <w:r>
        <w:rPr>
          <w:rFonts w:ascii="Arial" w:hAnsi="Arial" w:cs="Arial"/>
          <w:sz w:val="24"/>
          <w:szCs w:val="24"/>
        </w:rPr>
        <w:t>ir</w:t>
      </w:r>
      <w:r w:rsidRPr="00C70782">
        <w:rPr>
          <w:rFonts w:ascii="Arial" w:hAnsi="Arial" w:cs="Arial"/>
          <w:sz w:val="24"/>
          <w:szCs w:val="24"/>
        </w:rPr>
        <w:t xml:space="preserve"> la transparencia y rendición de cuentas.</w:t>
      </w:r>
    </w:p>
    <w:p w:rsidR="00C70782" w:rsidRDefault="00C70782" w:rsidP="00C70782">
      <w:pPr>
        <w:jc w:val="both"/>
        <w:rPr>
          <w:rFonts w:ascii="Arial" w:hAnsi="Arial" w:cs="Arial"/>
          <w:sz w:val="24"/>
          <w:szCs w:val="24"/>
        </w:rPr>
      </w:pPr>
      <w:r w:rsidRPr="00C70782">
        <w:rPr>
          <w:rFonts w:ascii="Arial" w:hAnsi="Arial" w:cs="Arial"/>
          <w:sz w:val="24"/>
          <w:szCs w:val="24"/>
        </w:rPr>
        <w:t>Por otra parte, con la implementación del PADA, se busca establecer una coordinación y comunicación con los responsables de los Archivos de Trámite y  Concentración  que permita un trabajo conjunto e institucional.</w:t>
      </w:r>
    </w:p>
    <w:p w:rsidR="00A921E5" w:rsidRDefault="00A921E5" w:rsidP="00C707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el PADA </w:t>
      </w:r>
      <w:r w:rsidRPr="00A921E5">
        <w:rPr>
          <w:rFonts w:ascii="Arial" w:hAnsi="Arial" w:cs="Arial"/>
          <w:sz w:val="24"/>
          <w:szCs w:val="24"/>
        </w:rPr>
        <w:t xml:space="preserve">contempla realizar adecuaciones a las instalaciones </w:t>
      </w:r>
      <w:r w:rsidR="001E094A">
        <w:rPr>
          <w:rFonts w:ascii="Arial" w:hAnsi="Arial" w:cs="Arial"/>
          <w:sz w:val="24"/>
          <w:szCs w:val="24"/>
        </w:rPr>
        <w:t xml:space="preserve">del Archivo de Concentración, </w:t>
      </w:r>
      <w:r w:rsidRPr="00A921E5">
        <w:rPr>
          <w:rFonts w:ascii="Arial" w:hAnsi="Arial" w:cs="Arial"/>
          <w:sz w:val="24"/>
          <w:szCs w:val="24"/>
        </w:rPr>
        <w:t xml:space="preserve">a efecto de salvaguardar la integridad de los servidores públicos encargados de los quehaceres archivísticos, así como implementar medidas para evitar la destrucción de documentos ponderando la preservación y el valor de la memoria institucional con la finalidad de darle un enfoque </w:t>
      </w:r>
      <w:r>
        <w:rPr>
          <w:rFonts w:ascii="Arial" w:hAnsi="Arial" w:cs="Arial"/>
          <w:sz w:val="24"/>
          <w:szCs w:val="24"/>
        </w:rPr>
        <w:t xml:space="preserve">tendiente a proteger los </w:t>
      </w:r>
      <w:r w:rsidRPr="00A921E5">
        <w:rPr>
          <w:rFonts w:ascii="Arial" w:hAnsi="Arial" w:cs="Arial"/>
          <w:sz w:val="24"/>
          <w:szCs w:val="24"/>
        </w:rPr>
        <w:t>Derechos Humanos.</w:t>
      </w:r>
    </w:p>
    <w:p w:rsidR="00034806" w:rsidRDefault="00034806" w:rsidP="00C70782">
      <w:pPr>
        <w:jc w:val="both"/>
        <w:rPr>
          <w:rFonts w:ascii="Arial" w:hAnsi="Arial" w:cs="Arial"/>
          <w:sz w:val="24"/>
          <w:szCs w:val="24"/>
        </w:rPr>
      </w:pPr>
    </w:p>
    <w:p w:rsidR="00034806" w:rsidRDefault="00034806" w:rsidP="00C70782">
      <w:pPr>
        <w:jc w:val="both"/>
        <w:rPr>
          <w:rFonts w:ascii="Arial" w:hAnsi="Arial" w:cs="Arial"/>
          <w:sz w:val="24"/>
          <w:szCs w:val="24"/>
        </w:rPr>
      </w:pPr>
    </w:p>
    <w:p w:rsidR="00034806" w:rsidRDefault="00034806" w:rsidP="00C70782">
      <w:pPr>
        <w:jc w:val="both"/>
        <w:rPr>
          <w:rFonts w:ascii="Arial" w:hAnsi="Arial" w:cs="Arial"/>
          <w:sz w:val="24"/>
          <w:szCs w:val="24"/>
        </w:rPr>
      </w:pPr>
    </w:p>
    <w:p w:rsidR="00034806" w:rsidRDefault="00034806" w:rsidP="00C70782">
      <w:pPr>
        <w:jc w:val="both"/>
        <w:rPr>
          <w:rFonts w:ascii="Arial" w:hAnsi="Arial" w:cs="Arial"/>
          <w:sz w:val="24"/>
          <w:szCs w:val="24"/>
        </w:rPr>
      </w:pPr>
    </w:p>
    <w:p w:rsidR="00E201B1" w:rsidRDefault="00E201B1" w:rsidP="003D7BE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3D7BEA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Objetivos.</w:t>
      </w:r>
    </w:p>
    <w:p w:rsidR="001E094A" w:rsidRDefault="001E094A" w:rsidP="001E094A">
      <w:pPr>
        <w:pStyle w:val="Prrafodelista"/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0E0536" w:rsidRPr="000E0536" w:rsidRDefault="000E0536" w:rsidP="000E0536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3.1.</w:t>
      </w:r>
      <w:r w:rsidR="00BE0F7C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</w:t>
      </w:r>
      <w:r w:rsidRPr="000E0536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General</w:t>
      </w:r>
      <w:r w:rsidR="005B3A81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</w:p>
    <w:p w:rsidR="00E201B1" w:rsidRPr="003D7BEA" w:rsidRDefault="000E0536" w:rsidP="003D7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las actividades y acciones en cumplimiento del marco normativo, a través del Sistema Institucional de Archivos del ITEI, a fin de </w:t>
      </w:r>
      <w:r w:rsidR="00BE0F7C">
        <w:rPr>
          <w:rFonts w:ascii="Arial" w:hAnsi="Arial" w:cs="Arial"/>
          <w:sz w:val="24"/>
          <w:szCs w:val="24"/>
        </w:rPr>
        <w:t>lograr</w:t>
      </w:r>
      <w:r>
        <w:rPr>
          <w:rFonts w:ascii="Arial" w:hAnsi="Arial" w:cs="Arial"/>
          <w:sz w:val="24"/>
          <w:szCs w:val="24"/>
        </w:rPr>
        <w:t xml:space="preserve"> una mejora continua en la organización, clasificación, integración, depuración y baja documental.   </w:t>
      </w:r>
    </w:p>
    <w:p w:rsidR="00BE0F7C" w:rsidRPr="000E0536" w:rsidRDefault="00BE0F7C" w:rsidP="00BE0F7C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3.2. Específicos</w:t>
      </w:r>
      <w:r w:rsidR="005B3A81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</w:t>
      </w:r>
    </w:p>
    <w:p w:rsidR="00DB1FC4" w:rsidRDefault="00DB1FC4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los procesos y procedimientos del Institutito de conformidad con la normatividad vigente, para la actualización de los instrumentos de control y consulta archivísticos.</w:t>
      </w:r>
    </w:p>
    <w:p w:rsidR="00DB1FC4" w:rsidRDefault="00641A15" w:rsidP="00641A1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41A15">
        <w:rPr>
          <w:rFonts w:ascii="Arial" w:hAnsi="Arial" w:cs="Arial"/>
          <w:sz w:val="24"/>
          <w:szCs w:val="24"/>
        </w:rPr>
        <w:t xml:space="preserve">Trabajar de manera conjunta con el </w:t>
      </w:r>
      <w:r w:rsidRPr="003B0E4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rupo </w:t>
      </w:r>
      <w:r w:rsidRPr="003B0E4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nterdisciplinario de </w:t>
      </w:r>
      <w:r w:rsidRPr="003B0E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rchivo</w:t>
      </w:r>
      <w:r w:rsidRPr="003B0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con los Enlaces de los Archivos de Trámite </w:t>
      </w:r>
      <w:r w:rsidRPr="00641A15">
        <w:rPr>
          <w:rFonts w:ascii="Arial" w:hAnsi="Arial" w:cs="Arial"/>
          <w:sz w:val="24"/>
          <w:szCs w:val="24"/>
        </w:rPr>
        <w:t>en la revisión, validación y dictaminación de las baja</w:t>
      </w:r>
      <w:r>
        <w:rPr>
          <w:rFonts w:ascii="Arial" w:hAnsi="Arial" w:cs="Arial"/>
          <w:sz w:val="24"/>
          <w:szCs w:val="24"/>
        </w:rPr>
        <w:t>s</w:t>
      </w:r>
      <w:r w:rsidRPr="00641A15">
        <w:rPr>
          <w:rFonts w:ascii="Arial" w:hAnsi="Arial" w:cs="Arial"/>
          <w:sz w:val="24"/>
          <w:szCs w:val="24"/>
        </w:rPr>
        <w:t xml:space="preserve"> documental</w:t>
      </w:r>
      <w:r>
        <w:rPr>
          <w:rFonts w:ascii="Arial" w:hAnsi="Arial" w:cs="Arial"/>
          <w:sz w:val="24"/>
          <w:szCs w:val="24"/>
        </w:rPr>
        <w:t>es</w:t>
      </w:r>
      <w:r w:rsidRPr="00641A15">
        <w:rPr>
          <w:rFonts w:ascii="Arial" w:hAnsi="Arial" w:cs="Arial"/>
          <w:sz w:val="24"/>
          <w:szCs w:val="24"/>
        </w:rPr>
        <w:t xml:space="preserve"> a efecto de optimizar los espacios ocupados en </w:t>
      </w:r>
      <w:r>
        <w:rPr>
          <w:rFonts w:ascii="Arial" w:hAnsi="Arial" w:cs="Arial"/>
          <w:sz w:val="24"/>
          <w:szCs w:val="24"/>
        </w:rPr>
        <w:t xml:space="preserve">el </w:t>
      </w:r>
      <w:r w:rsidRPr="00641A15">
        <w:rPr>
          <w:rFonts w:ascii="Arial" w:hAnsi="Arial" w:cs="Arial"/>
          <w:sz w:val="24"/>
          <w:szCs w:val="24"/>
        </w:rPr>
        <w:t>inmueble para guarda y custodia de</w:t>
      </w:r>
      <w:r>
        <w:rPr>
          <w:rFonts w:ascii="Arial" w:hAnsi="Arial" w:cs="Arial"/>
          <w:sz w:val="24"/>
          <w:szCs w:val="24"/>
        </w:rPr>
        <w:t>l A</w:t>
      </w:r>
      <w:r w:rsidRPr="00641A15">
        <w:rPr>
          <w:rFonts w:ascii="Arial" w:hAnsi="Arial" w:cs="Arial"/>
          <w:sz w:val="24"/>
          <w:szCs w:val="24"/>
        </w:rPr>
        <w:t>rchivo</w:t>
      </w:r>
      <w:r>
        <w:rPr>
          <w:rFonts w:ascii="Arial" w:hAnsi="Arial" w:cs="Arial"/>
          <w:sz w:val="24"/>
          <w:szCs w:val="24"/>
        </w:rPr>
        <w:t xml:space="preserve"> de Concentración.</w:t>
      </w:r>
    </w:p>
    <w:p w:rsidR="005D6244" w:rsidRDefault="00641A15" w:rsidP="00492FB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92FB6">
        <w:rPr>
          <w:rFonts w:ascii="Arial" w:hAnsi="Arial" w:cs="Arial"/>
          <w:sz w:val="24"/>
          <w:szCs w:val="24"/>
        </w:rPr>
        <w:t xml:space="preserve">Actualizar la Guía de Archivo Documental para su publicación en el </w:t>
      </w:r>
      <w:r w:rsidR="00DA5089">
        <w:rPr>
          <w:rFonts w:ascii="Arial" w:hAnsi="Arial" w:cs="Arial"/>
          <w:sz w:val="24"/>
          <w:szCs w:val="24"/>
        </w:rPr>
        <w:t>portal electrónico del Instituto</w:t>
      </w:r>
      <w:r w:rsidRPr="00492FB6">
        <w:rPr>
          <w:rFonts w:ascii="Arial" w:hAnsi="Arial" w:cs="Arial"/>
          <w:sz w:val="24"/>
          <w:szCs w:val="24"/>
        </w:rPr>
        <w:t>.</w:t>
      </w:r>
    </w:p>
    <w:p w:rsidR="00E201B1" w:rsidRPr="00FD7F9B" w:rsidRDefault="006304D4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Continuar con la s</w:t>
      </w:r>
      <w:r w:rsidR="00E201B1" w:rsidRPr="00FD7F9B">
        <w:rPr>
          <w:rFonts w:ascii="Arial" w:hAnsi="Arial" w:cs="Arial"/>
          <w:sz w:val="24"/>
          <w:szCs w:val="24"/>
        </w:rPr>
        <w:t>ensibiliza</w:t>
      </w:r>
      <w:r w:rsidRPr="00FD7F9B">
        <w:rPr>
          <w:rFonts w:ascii="Arial" w:hAnsi="Arial" w:cs="Arial"/>
          <w:sz w:val="24"/>
          <w:szCs w:val="24"/>
        </w:rPr>
        <w:t>ción</w:t>
      </w:r>
      <w:r w:rsidR="00E201B1" w:rsidRPr="00FD7F9B">
        <w:rPr>
          <w:rFonts w:ascii="Arial" w:hAnsi="Arial" w:cs="Arial"/>
          <w:sz w:val="24"/>
          <w:szCs w:val="24"/>
        </w:rPr>
        <w:t xml:space="preserve"> </w:t>
      </w:r>
      <w:r w:rsidRPr="00FD7F9B">
        <w:rPr>
          <w:rFonts w:ascii="Arial" w:hAnsi="Arial" w:cs="Arial"/>
          <w:sz w:val="24"/>
          <w:szCs w:val="24"/>
        </w:rPr>
        <w:t>de</w:t>
      </w:r>
      <w:r w:rsidR="00E201B1" w:rsidRPr="00FD7F9B">
        <w:rPr>
          <w:rFonts w:ascii="Arial" w:hAnsi="Arial" w:cs="Arial"/>
          <w:sz w:val="24"/>
          <w:szCs w:val="24"/>
        </w:rPr>
        <w:t xml:space="preserve"> los servidores públicos del Instituto sobre la importancia de los archivos, así como de la responsabilidad que representan.</w:t>
      </w:r>
    </w:p>
    <w:p w:rsidR="002076AF" w:rsidRDefault="002076AF" w:rsidP="002076A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076AF">
        <w:rPr>
          <w:rFonts w:ascii="Arial" w:hAnsi="Arial" w:cs="Arial"/>
          <w:sz w:val="24"/>
          <w:szCs w:val="24"/>
        </w:rPr>
        <w:t>Asesorar</w:t>
      </w:r>
      <w:r>
        <w:rPr>
          <w:rFonts w:ascii="Arial" w:hAnsi="Arial" w:cs="Arial"/>
          <w:sz w:val="24"/>
          <w:szCs w:val="24"/>
        </w:rPr>
        <w:t xml:space="preserve"> </w:t>
      </w:r>
      <w:r w:rsidR="000C1160">
        <w:rPr>
          <w:rFonts w:ascii="Arial" w:hAnsi="Arial" w:cs="Arial"/>
          <w:sz w:val="24"/>
          <w:szCs w:val="24"/>
        </w:rPr>
        <w:t xml:space="preserve">a  las </w:t>
      </w:r>
      <w:r w:rsidRPr="002076AF">
        <w:rPr>
          <w:rFonts w:ascii="Arial" w:hAnsi="Arial" w:cs="Arial"/>
          <w:sz w:val="24"/>
          <w:szCs w:val="24"/>
        </w:rPr>
        <w:t>Unidades Administrativas que</w:t>
      </w:r>
      <w:r w:rsidR="000C1160">
        <w:rPr>
          <w:rFonts w:ascii="Arial" w:hAnsi="Arial" w:cs="Arial"/>
          <w:sz w:val="24"/>
          <w:szCs w:val="24"/>
        </w:rPr>
        <w:t xml:space="preserve"> </w:t>
      </w:r>
      <w:r w:rsidRPr="002076AF">
        <w:rPr>
          <w:rFonts w:ascii="Arial" w:hAnsi="Arial" w:cs="Arial"/>
          <w:sz w:val="24"/>
          <w:szCs w:val="24"/>
        </w:rPr>
        <w:t>así  lo</w:t>
      </w:r>
      <w:r w:rsidR="000C1160">
        <w:rPr>
          <w:rFonts w:ascii="Arial" w:hAnsi="Arial" w:cs="Arial"/>
          <w:sz w:val="24"/>
          <w:szCs w:val="24"/>
        </w:rPr>
        <w:t xml:space="preserve"> </w:t>
      </w:r>
      <w:r w:rsidRPr="002076AF">
        <w:rPr>
          <w:rFonts w:ascii="Arial" w:hAnsi="Arial" w:cs="Arial"/>
          <w:sz w:val="24"/>
          <w:szCs w:val="24"/>
        </w:rPr>
        <w:t>requieran</w:t>
      </w:r>
      <w:r w:rsidR="000C1160">
        <w:rPr>
          <w:rFonts w:ascii="Arial" w:hAnsi="Arial" w:cs="Arial"/>
          <w:sz w:val="24"/>
          <w:szCs w:val="24"/>
        </w:rPr>
        <w:t xml:space="preserve"> para la operación de los Archivos de Trámite</w:t>
      </w:r>
      <w:r w:rsidRPr="002076AF">
        <w:rPr>
          <w:rFonts w:ascii="Arial" w:hAnsi="Arial" w:cs="Arial"/>
          <w:sz w:val="24"/>
          <w:szCs w:val="24"/>
        </w:rPr>
        <w:t>.</w:t>
      </w:r>
    </w:p>
    <w:p w:rsidR="000C1160" w:rsidRPr="002076AF" w:rsidRDefault="000C1160" w:rsidP="000C1160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1160">
        <w:rPr>
          <w:rFonts w:ascii="Arial" w:hAnsi="Arial" w:cs="Arial"/>
          <w:sz w:val="24"/>
          <w:szCs w:val="24"/>
        </w:rPr>
        <w:t>Atender las transferencias primarias</w:t>
      </w:r>
    </w:p>
    <w:p w:rsidR="00E201B1" w:rsidRPr="00FD7F9B" w:rsidRDefault="00E201B1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 xml:space="preserve">Homogeneizar los inventarios generales de las unidades administrativas, así como su respectiva alimentación y actualización periódica. </w:t>
      </w:r>
    </w:p>
    <w:p w:rsidR="00E201B1" w:rsidRPr="00FD7F9B" w:rsidRDefault="00E201B1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>Optimizar el mantenimiento de los expedientes en archivo de concentración, mediante el reemplazo de las cajas que no se encuentren en buenas condiciones</w:t>
      </w:r>
      <w:r w:rsidR="00DA5089">
        <w:rPr>
          <w:rFonts w:ascii="Arial" w:hAnsi="Arial" w:cs="Arial"/>
          <w:sz w:val="24"/>
          <w:szCs w:val="24"/>
        </w:rPr>
        <w:t>.</w:t>
      </w:r>
    </w:p>
    <w:p w:rsidR="00E201B1" w:rsidRDefault="003062B1" w:rsidP="000C116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D7F9B">
        <w:rPr>
          <w:rFonts w:ascii="Arial" w:hAnsi="Arial" w:cs="Arial"/>
          <w:sz w:val="24"/>
          <w:szCs w:val="24"/>
        </w:rPr>
        <w:t xml:space="preserve">Proponer mejoras o cambios al inmueble </w:t>
      </w:r>
      <w:r w:rsidR="00DA5089">
        <w:rPr>
          <w:rFonts w:ascii="Arial" w:hAnsi="Arial" w:cs="Arial"/>
          <w:sz w:val="24"/>
          <w:szCs w:val="24"/>
        </w:rPr>
        <w:t xml:space="preserve">destinado al Archivo de Concentración, </w:t>
      </w:r>
      <w:r w:rsidRPr="00FD7F9B">
        <w:rPr>
          <w:rFonts w:ascii="Arial" w:hAnsi="Arial" w:cs="Arial"/>
          <w:sz w:val="24"/>
          <w:szCs w:val="24"/>
        </w:rPr>
        <w:t xml:space="preserve">con la finalidad de salvaguardar la </w:t>
      </w:r>
      <w:r w:rsidR="00DA5089">
        <w:rPr>
          <w:rFonts w:ascii="Arial" w:hAnsi="Arial" w:cs="Arial"/>
          <w:sz w:val="24"/>
          <w:szCs w:val="24"/>
        </w:rPr>
        <w:t>adecuada guarda y custodia documenta</w:t>
      </w:r>
      <w:r w:rsidR="005B3A81">
        <w:rPr>
          <w:rFonts w:ascii="Arial" w:hAnsi="Arial" w:cs="Arial"/>
          <w:sz w:val="24"/>
          <w:szCs w:val="24"/>
        </w:rPr>
        <w:t>l</w:t>
      </w:r>
      <w:r w:rsidR="000C1160">
        <w:rPr>
          <w:rFonts w:ascii="Arial" w:hAnsi="Arial" w:cs="Arial"/>
          <w:sz w:val="24"/>
          <w:szCs w:val="24"/>
        </w:rPr>
        <w:t>, así como</w:t>
      </w:r>
      <w:r w:rsidR="005B3A81">
        <w:rPr>
          <w:rFonts w:ascii="Arial" w:hAnsi="Arial" w:cs="Arial"/>
          <w:sz w:val="24"/>
          <w:szCs w:val="24"/>
        </w:rPr>
        <w:t xml:space="preserve"> la</w:t>
      </w:r>
      <w:r w:rsidR="000C1160">
        <w:rPr>
          <w:rFonts w:ascii="Arial" w:hAnsi="Arial" w:cs="Arial"/>
          <w:sz w:val="24"/>
          <w:szCs w:val="24"/>
        </w:rPr>
        <w:t xml:space="preserve"> integridad </w:t>
      </w:r>
      <w:r w:rsidR="000C1160" w:rsidRPr="000C1160">
        <w:rPr>
          <w:rFonts w:ascii="Arial" w:hAnsi="Arial" w:cs="Arial"/>
          <w:sz w:val="24"/>
          <w:szCs w:val="24"/>
        </w:rPr>
        <w:t xml:space="preserve">de los servidores públicos encargados del </w:t>
      </w:r>
      <w:r w:rsidR="005B3A81">
        <w:rPr>
          <w:rFonts w:ascii="Arial" w:hAnsi="Arial" w:cs="Arial"/>
          <w:sz w:val="24"/>
          <w:szCs w:val="24"/>
        </w:rPr>
        <w:t>mismo</w:t>
      </w:r>
      <w:r w:rsidRPr="00FD7F9B">
        <w:rPr>
          <w:rFonts w:ascii="Arial" w:hAnsi="Arial" w:cs="Arial"/>
          <w:sz w:val="24"/>
          <w:szCs w:val="24"/>
        </w:rPr>
        <w:t>.</w:t>
      </w:r>
    </w:p>
    <w:p w:rsidR="00034806" w:rsidRPr="00FD7F9B" w:rsidRDefault="00034806" w:rsidP="000348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E7255" w:rsidRPr="00FD7F9B" w:rsidRDefault="006E7255" w:rsidP="006E72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01B1" w:rsidRDefault="003B4F1F" w:rsidP="00BB2DD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Programación</w:t>
      </w:r>
      <w:r w:rsidR="00E201B1" w:rsidRPr="00BB2DD3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</w:p>
    <w:p w:rsidR="00BB2DD3" w:rsidRPr="00BB2DD3" w:rsidRDefault="00BB2DD3" w:rsidP="00BB2D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B2DD3">
        <w:rPr>
          <w:rFonts w:ascii="Arial" w:hAnsi="Arial" w:cs="Arial"/>
          <w:sz w:val="24"/>
          <w:szCs w:val="24"/>
          <w:lang w:val="es-ES"/>
        </w:rPr>
        <w:t xml:space="preserve">A fin de alcanzar los objetivos planteados en el </w:t>
      </w:r>
      <w:r>
        <w:rPr>
          <w:rFonts w:ascii="Arial" w:hAnsi="Arial" w:cs="Arial"/>
          <w:sz w:val="24"/>
          <w:szCs w:val="24"/>
          <w:lang w:val="es-ES"/>
        </w:rPr>
        <w:t>apartado anterior</w:t>
      </w:r>
      <w:r w:rsidRPr="00BB2DD3">
        <w:rPr>
          <w:rFonts w:ascii="Arial" w:hAnsi="Arial" w:cs="Arial"/>
          <w:sz w:val="24"/>
          <w:szCs w:val="24"/>
          <w:lang w:val="es-ES"/>
        </w:rPr>
        <w:t>, la Coordinación</w:t>
      </w:r>
      <w:r>
        <w:rPr>
          <w:rFonts w:ascii="Arial" w:hAnsi="Arial" w:cs="Arial"/>
          <w:sz w:val="24"/>
          <w:szCs w:val="24"/>
          <w:lang w:val="es-ES"/>
        </w:rPr>
        <w:t xml:space="preserve"> General de Evaluación y Gestión Documental </w:t>
      </w:r>
      <w:r w:rsidRPr="00BB2DD3">
        <w:rPr>
          <w:rFonts w:ascii="Arial" w:hAnsi="Arial" w:cs="Arial"/>
          <w:sz w:val="24"/>
          <w:szCs w:val="24"/>
          <w:lang w:val="es-ES"/>
        </w:rPr>
        <w:t>ha programado una serie de actividades durante el presente ejercicio,  encaminadas a l</w:t>
      </w:r>
      <w:r>
        <w:rPr>
          <w:rFonts w:ascii="Arial" w:hAnsi="Arial" w:cs="Arial"/>
          <w:sz w:val="24"/>
          <w:szCs w:val="24"/>
          <w:lang w:val="es-ES"/>
        </w:rPr>
        <w:t xml:space="preserve">ograr un eficiente y eficaz </w:t>
      </w:r>
      <w:r w:rsidRPr="00BB2DD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desarrollo </w:t>
      </w:r>
      <w:r w:rsidRPr="00BB2DD3">
        <w:rPr>
          <w:rFonts w:ascii="Arial" w:hAnsi="Arial" w:cs="Arial"/>
          <w:sz w:val="24"/>
          <w:szCs w:val="24"/>
          <w:lang w:val="es-ES"/>
        </w:rPr>
        <w:t>de los procesos archivísticos.</w:t>
      </w:r>
    </w:p>
    <w:p w:rsidR="002076AF" w:rsidRDefault="00BB2DD3" w:rsidP="00BB2D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B2DD3">
        <w:rPr>
          <w:rFonts w:ascii="Arial" w:hAnsi="Arial" w:cs="Arial"/>
          <w:sz w:val="24"/>
          <w:szCs w:val="24"/>
          <w:lang w:val="es-ES"/>
        </w:rPr>
        <w:t xml:space="preserve">Dichas </w:t>
      </w:r>
      <w:r w:rsidR="002076AF">
        <w:rPr>
          <w:rFonts w:ascii="Arial" w:hAnsi="Arial" w:cs="Arial"/>
          <w:sz w:val="24"/>
          <w:szCs w:val="24"/>
          <w:lang w:val="es-ES"/>
        </w:rPr>
        <w:t>actividades</w:t>
      </w:r>
      <w:r w:rsidRPr="00BB2DD3">
        <w:rPr>
          <w:rFonts w:ascii="Arial" w:hAnsi="Arial" w:cs="Arial"/>
          <w:sz w:val="24"/>
          <w:szCs w:val="24"/>
          <w:lang w:val="es-ES"/>
        </w:rPr>
        <w:t xml:space="preserve">, deben realizarse en coordinación con los responsables de los Archivos de Trámite y </w:t>
      </w:r>
      <w:r w:rsidR="002076AF">
        <w:rPr>
          <w:rFonts w:ascii="Arial" w:hAnsi="Arial" w:cs="Arial"/>
          <w:sz w:val="24"/>
          <w:szCs w:val="24"/>
          <w:lang w:val="es-ES"/>
        </w:rPr>
        <w:t xml:space="preserve">de </w:t>
      </w:r>
      <w:r w:rsidRPr="00BB2DD3">
        <w:rPr>
          <w:rFonts w:ascii="Arial" w:hAnsi="Arial" w:cs="Arial"/>
          <w:sz w:val="24"/>
          <w:szCs w:val="24"/>
          <w:lang w:val="es-ES"/>
        </w:rPr>
        <w:t>Concentración a través de las sesiones del G</w:t>
      </w:r>
      <w:r w:rsidR="002076AF">
        <w:rPr>
          <w:rFonts w:ascii="Arial" w:hAnsi="Arial" w:cs="Arial"/>
          <w:sz w:val="24"/>
          <w:szCs w:val="24"/>
          <w:lang w:val="es-ES"/>
        </w:rPr>
        <w:t xml:space="preserve">rupo </w:t>
      </w:r>
      <w:r w:rsidR="002076AF" w:rsidRPr="00BB2DD3">
        <w:rPr>
          <w:rFonts w:ascii="Arial" w:hAnsi="Arial" w:cs="Arial"/>
          <w:sz w:val="24"/>
          <w:szCs w:val="24"/>
          <w:lang w:val="es-ES"/>
        </w:rPr>
        <w:t>I</w:t>
      </w:r>
      <w:r w:rsidR="002076AF">
        <w:rPr>
          <w:rFonts w:ascii="Arial" w:hAnsi="Arial" w:cs="Arial"/>
          <w:sz w:val="24"/>
          <w:szCs w:val="24"/>
          <w:lang w:val="es-ES"/>
        </w:rPr>
        <w:t xml:space="preserve">nterdisciplinario de </w:t>
      </w:r>
      <w:r w:rsidRPr="00BB2DD3">
        <w:rPr>
          <w:rFonts w:ascii="Arial" w:hAnsi="Arial" w:cs="Arial"/>
          <w:sz w:val="24"/>
          <w:szCs w:val="24"/>
          <w:lang w:val="es-ES"/>
        </w:rPr>
        <w:t>A</w:t>
      </w:r>
      <w:r w:rsidR="002076AF">
        <w:rPr>
          <w:rFonts w:ascii="Arial" w:hAnsi="Arial" w:cs="Arial"/>
          <w:sz w:val="24"/>
          <w:szCs w:val="24"/>
          <w:lang w:val="es-ES"/>
        </w:rPr>
        <w:t>rchivo</w:t>
      </w:r>
      <w:r w:rsidRPr="00BB2DD3">
        <w:rPr>
          <w:rFonts w:ascii="Arial" w:hAnsi="Arial" w:cs="Arial"/>
          <w:sz w:val="24"/>
          <w:szCs w:val="24"/>
          <w:lang w:val="es-ES"/>
        </w:rPr>
        <w:t>, capacita</w:t>
      </w:r>
      <w:r w:rsidR="002076AF">
        <w:rPr>
          <w:rFonts w:ascii="Arial" w:hAnsi="Arial" w:cs="Arial"/>
          <w:sz w:val="24"/>
          <w:szCs w:val="24"/>
          <w:lang w:val="es-ES"/>
        </w:rPr>
        <w:t>ndo</w:t>
      </w:r>
      <w:r w:rsidRPr="00BB2DD3">
        <w:rPr>
          <w:rFonts w:ascii="Arial" w:hAnsi="Arial" w:cs="Arial"/>
          <w:sz w:val="24"/>
          <w:szCs w:val="24"/>
          <w:lang w:val="es-ES"/>
        </w:rPr>
        <w:t>, valorando e integrando los Instrumentos de Control y Consulta Archivístico</w:t>
      </w:r>
      <w:r w:rsidR="005B3A81">
        <w:rPr>
          <w:rFonts w:ascii="Arial" w:hAnsi="Arial" w:cs="Arial"/>
          <w:sz w:val="24"/>
          <w:szCs w:val="24"/>
          <w:lang w:val="es-ES"/>
        </w:rPr>
        <w:t>s</w:t>
      </w:r>
      <w:r w:rsidR="002076AF">
        <w:rPr>
          <w:rFonts w:ascii="Arial" w:hAnsi="Arial" w:cs="Arial"/>
          <w:sz w:val="24"/>
          <w:szCs w:val="24"/>
          <w:lang w:val="es-ES"/>
        </w:rPr>
        <w:t>.</w:t>
      </w:r>
    </w:p>
    <w:p w:rsidR="005B3A81" w:rsidRPr="00094612" w:rsidRDefault="005B3A81" w:rsidP="00F06640">
      <w:pPr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4.1. </w:t>
      </w:r>
      <w:r w:rsidR="00E201B1" w:rsidRPr="00FD7F9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Alcance.</w:t>
      </w:r>
    </w:p>
    <w:p w:rsidR="00094612" w:rsidRPr="00094612" w:rsidRDefault="00E52BB9" w:rsidP="00E52B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programa </w:t>
      </w:r>
      <w:r w:rsidR="00094612" w:rsidRPr="00094612">
        <w:rPr>
          <w:rFonts w:ascii="Arial" w:hAnsi="Arial" w:cs="Arial"/>
          <w:sz w:val="24"/>
          <w:szCs w:val="24"/>
        </w:rPr>
        <w:t>establece actividades encaminadas para que los integrantes del G</w:t>
      </w:r>
      <w:r w:rsidR="00094612">
        <w:rPr>
          <w:rFonts w:ascii="Arial" w:hAnsi="Arial" w:cs="Arial"/>
          <w:sz w:val="24"/>
          <w:szCs w:val="24"/>
        </w:rPr>
        <w:t xml:space="preserve">rupo </w:t>
      </w:r>
      <w:r w:rsidR="00094612" w:rsidRPr="00094612">
        <w:rPr>
          <w:rFonts w:ascii="Arial" w:hAnsi="Arial" w:cs="Arial"/>
          <w:sz w:val="24"/>
          <w:szCs w:val="24"/>
        </w:rPr>
        <w:t>I</w:t>
      </w:r>
      <w:r w:rsidR="00094612">
        <w:rPr>
          <w:rFonts w:ascii="Arial" w:hAnsi="Arial" w:cs="Arial"/>
          <w:sz w:val="24"/>
          <w:szCs w:val="24"/>
        </w:rPr>
        <w:t>nterdisciplinario de Archivo</w:t>
      </w:r>
      <w:r w:rsidR="00094612" w:rsidRPr="00094612">
        <w:rPr>
          <w:rFonts w:ascii="Arial" w:hAnsi="Arial" w:cs="Arial"/>
          <w:sz w:val="24"/>
          <w:szCs w:val="24"/>
        </w:rPr>
        <w:t xml:space="preserve">, los responsables de </w:t>
      </w:r>
      <w:r>
        <w:rPr>
          <w:rFonts w:ascii="Arial" w:hAnsi="Arial" w:cs="Arial"/>
          <w:sz w:val="24"/>
          <w:szCs w:val="24"/>
        </w:rPr>
        <w:t xml:space="preserve">los </w:t>
      </w:r>
      <w:r w:rsidR="00094612" w:rsidRPr="00094612">
        <w:rPr>
          <w:rFonts w:ascii="Arial" w:hAnsi="Arial" w:cs="Arial"/>
          <w:sz w:val="24"/>
          <w:szCs w:val="24"/>
        </w:rPr>
        <w:t>Archivo</w:t>
      </w:r>
      <w:r>
        <w:rPr>
          <w:rFonts w:ascii="Arial" w:hAnsi="Arial" w:cs="Arial"/>
          <w:sz w:val="24"/>
          <w:szCs w:val="24"/>
        </w:rPr>
        <w:t>s</w:t>
      </w:r>
      <w:r w:rsidR="00094612" w:rsidRPr="00094612">
        <w:rPr>
          <w:rFonts w:ascii="Arial" w:hAnsi="Arial" w:cs="Arial"/>
          <w:sz w:val="24"/>
          <w:szCs w:val="24"/>
        </w:rPr>
        <w:t xml:space="preserve"> de Trámite y</w:t>
      </w:r>
      <w:r>
        <w:rPr>
          <w:rFonts w:ascii="Arial" w:hAnsi="Arial" w:cs="Arial"/>
          <w:sz w:val="24"/>
          <w:szCs w:val="24"/>
        </w:rPr>
        <w:t xml:space="preserve"> de </w:t>
      </w:r>
      <w:r w:rsidR="00094612" w:rsidRPr="00094612">
        <w:rPr>
          <w:rFonts w:ascii="Arial" w:hAnsi="Arial" w:cs="Arial"/>
          <w:sz w:val="24"/>
          <w:szCs w:val="24"/>
        </w:rPr>
        <w:t xml:space="preserve"> Concentración, así como  los  servidores  públicos de las áreas productoras que forman parte del Sistema  Institucional  de Archivos,  </w:t>
      </w:r>
      <w:r>
        <w:rPr>
          <w:rFonts w:ascii="Arial" w:hAnsi="Arial" w:cs="Arial"/>
          <w:sz w:val="24"/>
          <w:szCs w:val="24"/>
        </w:rPr>
        <w:t xml:space="preserve">encaucen </w:t>
      </w:r>
      <w:r w:rsidR="00094612" w:rsidRPr="00094612">
        <w:rPr>
          <w:rFonts w:ascii="Arial" w:hAnsi="Arial" w:cs="Arial"/>
          <w:sz w:val="24"/>
          <w:szCs w:val="24"/>
        </w:rPr>
        <w:t xml:space="preserve">los procesos hacia una mejor organización documental, mediante la aplicación del </w:t>
      </w:r>
      <w:r w:rsidRPr="0009461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atálogo </w:t>
      </w:r>
      <w:r w:rsidRPr="000A0389">
        <w:rPr>
          <w:rFonts w:ascii="Arial" w:hAnsi="Arial" w:cs="Arial"/>
          <w:sz w:val="24"/>
          <w:szCs w:val="24"/>
        </w:rPr>
        <w:t>de Disposición Documental</w:t>
      </w:r>
      <w:r w:rsidR="00094612" w:rsidRPr="00094612">
        <w:rPr>
          <w:rFonts w:ascii="Arial" w:hAnsi="Arial" w:cs="Arial"/>
          <w:sz w:val="24"/>
          <w:szCs w:val="24"/>
        </w:rPr>
        <w:t>, la elaboración de los Inventarios documentales en cada una de las etapas del ciclo vital de los documentos, así corno la correcta aplicación de toda la normativa vigente</w:t>
      </w:r>
      <w:r>
        <w:rPr>
          <w:rFonts w:ascii="Arial" w:hAnsi="Arial" w:cs="Arial"/>
          <w:sz w:val="24"/>
          <w:szCs w:val="24"/>
        </w:rPr>
        <w:t>.</w:t>
      </w:r>
    </w:p>
    <w:p w:rsidR="00E201B1" w:rsidRDefault="00F06640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4.2. </w:t>
      </w:r>
      <w:r w:rsidR="005B3A81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Entregables.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1985"/>
      </w:tblGrid>
      <w:tr w:rsidR="00DF6722" w:rsidTr="0088776F">
        <w:tc>
          <w:tcPr>
            <w:tcW w:w="1951" w:type="dxa"/>
          </w:tcPr>
          <w:p w:rsidR="00DF6722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Actividad</w:t>
            </w:r>
          </w:p>
        </w:tc>
        <w:tc>
          <w:tcPr>
            <w:tcW w:w="2268" w:type="dxa"/>
          </w:tcPr>
          <w:p w:rsidR="00DF6722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Acciones</w:t>
            </w:r>
          </w:p>
        </w:tc>
        <w:tc>
          <w:tcPr>
            <w:tcW w:w="2126" w:type="dxa"/>
          </w:tcPr>
          <w:p w:rsidR="00DF6722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Entregables</w:t>
            </w:r>
          </w:p>
        </w:tc>
        <w:tc>
          <w:tcPr>
            <w:tcW w:w="1985" w:type="dxa"/>
          </w:tcPr>
          <w:p w:rsidR="00DF6722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Responsable</w:t>
            </w:r>
          </w:p>
        </w:tc>
      </w:tr>
      <w:tr w:rsidR="00DF6722" w:rsidTr="0088776F"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Instrumentos de Control y Consulta Archivístico</w:t>
            </w:r>
          </w:p>
        </w:tc>
        <w:tc>
          <w:tcPr>
            <w:tcW w:w="2268" w:type="dxa"/>
          </w:tcPr>
          <w:p w:rsidR="00DF6722" w:rsidRPr="00A3307C" w:rsidRDefault="00DF6722" w:rsidP="008E60F4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Actualización del Cuadro de Clasificación Archivística y   Catálogo de Disposición Documental, de conformidad con la estructura orgánica, funciones y procesos vigentes.    </w:t>
            </w:r>
          </w:p>
        </w:tc>
        <w:tc>
          <w:tcPr>
            <w:tcW w:w="2126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Cuadro de Clasificación Archivística y   Catálogo de Disposición Documental analizados para la elaboración de las fichas técnicas de valoración documental 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Tr="0088776F"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Guía de Archivo Documental  </w:t>
            </w:r>
          </w:p>
        </w:tc>
        <w:tc>
          <w:tcPr>
            <w:tcW w:w="2268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Integración de la Guía de Archivo Documental  </w:t>
            </w:r>
          </w:p>
        </w:tc>
        <w:tc>
          <w:tcPr>
            <w:tcW w:w="2126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Guía de Archivo Documental actualizada.  </w:t>
            </w:r>
          </w:p>
        </w:tc>
        <w:tc>
          <w:tcPr>
            <w:tcW w:w="1985" w:type="dxa"/>
          </w:tcPr>
          <w:p w:rsidR="00DF6722" w:rsidRPr="00A3307C" w:rsidRDefault="00DF6722" w:rsidP="002058F6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Tr="0088776F">
        <w:tc>
          <w:tcPr>
            <w:tcW w:w="1951" w:type="dxa"/>
          </w:tcPr>
          <w:p w:rsidR="00DF6722" w:rsidRPr="00FD7F9B" w:rsidRDefault="00DF6722" w:rsidP="003A3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FD7F9B">
              <w:rPr>
                <w:rFonts w:ascii="Arial" w:hAnsi="Arial" w:cs="Arial"/>
                <w:sz w:val="24"/>
                <w:szCs w:val="24"/>
              </w:rPr>
              <w:t>nventario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D7F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Documentales</w:t>
            </w:r>
          </w:p>
        </w:tc>
        <w:tc>
          <w:tcPr>
            <w:tcW w:w="2268" w:type="dxa"/>
          </w:tcPr>
          <w:p w:rsidR="00DF6722" w:rsidRPr="00FD7F9B" w:rsidRDefault="00DF6722" w:rsidP="003A33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lastRenderedPageBreak/>
              <w:t xml:space="preserve">Homogeneizar los </w:t>
            </w:r>
            <w:r w:rsidRPr="00FD7F9B">
              <w:rPr>
                <w:rFonts w:ascii="Arial" w:hAnsi="Arial" w:cs="Arial"/>
                <w:sz w:val="24"/>
                <w:szCs w:val="24"/>
              </w:rPr>
              <w:lastRenderedPageBreak/>
              <w:t xml:space="preserve">formatos de inventario general, con la finalidad de llevar un mayor control y facilitar la búsqueda de expedientes, así como llevar un registro de las etapas en las que se encuentran los expedientes en su </w:t>
            </w:r>
            <w:r>
              <w:rPr>
                <w:rFonts w:ascii="Arial" w:hAnsi="Arial" w:cs="Arial"/>
                <w:sz w:val="24"/>
                <w:szCs w:val="24"/>
              </w:rPr>
              <w:t>ciclo vital</w:t>
            </w:r>
            <w:r w:rsidRPr="00FD7F9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F6722" w:rsidRPr="00A3307C" w:rsidRDefault="00DF6722" w:rsidP="003A339B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lastRenderedPageBreak/>
              <w:t xml:space="preserve">Inventario </w:t>
            </w: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lastRenderedPageBreak/>
              <w:t xml:space="preserve">General del Archivo de Concentración actualizado, conforme a su ubicación topográfica actual.  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lastRenderedPageBreak/>
              <w:t>CGEGD</w:t>
            </w:r>
          </w:p>
        </w:tc>
      </w:tr>
      <w:tr w:rsidR="00DF6722" w:rsidTr="0088776F"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Registro del Sistema Institucional de Archivos</w:t>
            </w:r>
          </w:p>
        </w:tc>
        <w:tc>
          <w:tcPr>
            <w:tcW w:w="2268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Actualización de los nombramientos de los servidores públicos responsables de los Archivos de Trámite. </w:t>
            </w:r>
          </w:p>
        </w:tc>
        <w:tc>
          <w:tcPr>
            <w:tcW w:w="2126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Registro Actualizado del Sistema Institucional de Archivos del ITEI  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  <w:tr w:rsidR="00DF6722" w:rsidTr="0088776F">
        <w:trPr>
          <w:trHeight w:val="3722"/>
        </w:trPr>
        <w:tc>
          <w:tcPr>
            <w:tcW w:w="1951" w:type="dxa"/>
          </w:tcPr>
          <w:p w:rsidR="00DF6722" w:rsidRPr="00FD7F9B" w:rsidRDefault="00DF6722" w:rsidP="00205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Transferencias P</w:t>
            </w:r>
            <w:r w:rsidRPr="00FD7F9B">
              <w:rPr>
                <w:rFonts w:ascii="Arial" w:hAnsi="Arial" w:cs="Arial"/>
                <w:sz w:val="24"/>
                <w:szCs w:val="24"/>
              </w:rPr>
              <w:t>rimarias.</w:t>
            </w:r>
          </w:p>
          <w:p w:rsidR="00DF6722" w:rsidRPr="00FD7F9B" w:rsidRDefault="00DF6722" w:rsidP="0020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722" w:rsidRPr="00FD7F9B" w:rsidRDefault="00DF6722" w:rsidP="003A3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Recibir  las solicitudes de transferencias </w:t>
            </w:r>
            <w:r w:rsidRPr="00FD7F9B">
              <w:rPr>
                <w:rFonts w:ascii="Arial" w:hAnsi="Arial" w:cs="Arial"/>
                <w:sz w:val="24"/>
                <w:szCs w:val="24"/>
              </w:rPr>
              <w:t xml:space="preserve"> de documentos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FD7F9B">
              <w:rPr>
                <w:rFonts w:ascii="Arial" w:hAnsi="Arial" w:cs="Arial"/>
                <w:sz w:val="24"/>
                <w:szCs w:val="24"/>
              </w:rPr>
              <w:t>nviadas por los responsables de los archivos de trámite.</w:t>
            </w:r>
          </w:p>
        </w:tc>
        <w:tc>
          <w:tcPr>
            <w:tcW w:w="2126" w:type="dxa"/>
          </w:tcPr>
          <w:p w:rsidR="00DF6722" w:rsidRPr="00A3307C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Inventarios de Transferencias Primarias 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Unidades Administrativas/</w:t>
            </w: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  <w:tr w:rsidR="00DF6722" w:rsidTr="0088776F">
        <w:trPr>
          <w:trHeight w:val="3722"/>
        </w:trPr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lastRenderedPageBreak/>
              <w:t>Baja Documental</w:t>
            </w:r>
          </w:p>
        </w:tc>
        <w:tc>
          <w:tcPr>
            <w:tcW w:w="2268" w:type="dxa"/>
          </w:tcPr>
          <w:p w:rsidR="00DF6722" w:rsidRPr="00A3307C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Recibir, analizar y validar de las</w:t>
            </w:r>
          </w:p>
          <w:p w:rsidR="00DF6722" w:rsidRPr="00A3307C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Unidades Administrativas,       los formatos de baja de   expedientes que  cumplieron su plazo de conservación total</w:t>
            </w:r>
          </w:p>
        </w:tc>
        <w:tc>
          <w:tcPr>
            <w:tcW w:w="2126" w:type="dxa"/>
          </w:tcPr>
          <w:p w:rsidR="00DF6722" w:rsidRPr="00A3307C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Trámites de baja documental </w:t>
            </w:r>
          </w:p>
          <w:p w:rsidR="00DF6722" w:rsidRPr="00A3307C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  <w:p w:rsidR="00DF6722" w:rsidRPr="00A3307C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Tr="0088776F"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Sesiones del GIA</w:t>
            </w:r>
          </w:p>
        </w:tc>
        <w:tc>
          <w:tcPr>
            <w:tcW w:w="2268" w:type="dxa"/>
          </w:tcPr>
          <w:p w:rsidR="00DF6722" w:rsidRPr="00A3307C" w:rsidRDefault="00DF6722" w:rsidP="00A3307C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Llevar a cabo las sesiones programadas conforme al calendario establecido para este ejercicio fiscal.</w:t>
            </w:r>
          </w:p>
        </w:tc>
        <w:tc>
          <w:tcPr>
            <w:tcW w:w="2126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Actas, Acuerdos, proyectos y seguimientos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Tr="0088776F"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Asistencia Técnica</w:t>
            </w:r>
          </w:p>
        </w:tc>
        <w:tc>
          <w:tcPr>
            <w:tcW w:w="2268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2076AF">
              <w:rPr>
                <w:rFonts w:ascii="Arial" w:hAnsi="Arial" w:cs="Arial"/>
                <w:sz w:val="24"/>
                <w:szCs w:val="24"/>
              </w:rPr>
              <w:t>Asesorar</w:t>
            </w:r>
            <w:r>
              <w:rPr>
                <w:rFonts w:ascii="Arial" w:hAnsi="Arial" w:cs="Arial"/>
                <w:sz w:val="24"/>
                <w:szCs w:val="24"/>
              </w:rPr>
              <w:t xml:space="preserve"> a  las </w:t>
            </w:r>
            <w:r w:rsidRPr="002076AF">
              <w:rPr>
                <w:rFonts w:ascii="Arial" w:hAnsi="Arial" w:cs="Arial"/>
                <w:sz w:val="24"/>
                <w:szCs w:val="24"/>
              </w:rPr>
              <w:t>Unidades Administrativas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6AF">
              <w:rPr>
                <w:rFonts w:ascii="Arial" w:hAnsi="Arial" w:cs="Arial"/>
                <w:sz w:val="24"/>
                <w:szCs w:val="24"/>
              </w:rPr>
              <w:t>así  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6AF">
              <w:rPr>
                <w:rFonts w:ascii="Arial" w:hAnsi="Arial" w:cs="Arial"/>
                <w:sz w:val="24"/>
                <w:szCs w:val="24"/>
              </w:rPr>
              <w:t>requieran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operación de los Archivos de Trámite</w:t>
            </w:r>
          </w:p>
        </w:tc>
        <w:tc>
          <w:tcPr>
            <w:tcW w:w="2126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Solicitudes.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  <w:tr w:rsidR="00DF6722" w:rsidTr="0088776F">
        <w:tc>
          <w:tcPr>
            <w:tcW w:w="1951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Mejoras al Inmueble del Archivo de Concentración</w:t>
            </w:r>
          </w:p>
        </w:tc>
        <w:tc>
          <w:tcPr>
            <w:tcW w:w="2268" w:type="dxa"/>
          </w:tcPr>
          <w:p w:rsidR="00DF6722" w:rsidRPr="00A3307C" w:rsidRDefault="00DF6722" w:rsidP="00EE5F05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Gestionar </w:t>
            </w:r>
            <w:r w:rsidRPr="00EE5F05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mejoras o cambios al inmueble destin</w:t>
            </w: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ado al Archivo de Concentración.</w:t>
            </w:r>
          </w:p>
        </w:tc>
        <w:tc>
          <w:tcPr>
            <w:tcW w:w="2126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Requisiciones </w:t>
            </w:r>
          </w:p>
        </w:tc>
        <w:tc>
          <w:tcPr>
            <w:tcW w:w="1985" w:type="dxa"/>
          </w:tcPr>
          <w:p w:rsidR="00DF6722" w:rsidRPr="00A3307C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A3307C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</w:tbl>
    <w:p w:rsidR="00B82266" w:rsidRDefault="00B82266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01633B" w:rsidRDefault="0001633B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034806" w:rsidRDefault="00034806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034806" w:rsidRDefault="00034806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EE5F05" w:rsidRDefault="00EE5F05" w:rsidP="00EE5F05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 xml:space="preserve">4.3. </w:t>
      </w:r>
      <w:r w:rsidR="00264A50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Calendarización de </w:t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Actividades.</w:t>
      </w:r>
    </w:p>
    <w:p w:rsidR="005D6887" w:rsidRPr="00FD7F9B" w:rsidRDefault="00470CDE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470CDE">
        <w:rPr>
          <w:noProof/>
        </w:rPr>
        <w:drawing>
          <wp:inline distT="0" distB="0" distL="0" distR="0" wp14:anchorId="1641602A" wp14:editId="6512EDDE">
            <wp:extent cx="5612130" cy="37417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22" w:rsidRDefault="00DF6722" w:rsidP="00DF6722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4.4. Recursos Humanos y Materiales.</w:t>
      </w:r>
    </w:p>
    <w:p w:rsidR="00EE5F05" w:rsidRDefault="00DF6722" w:rsidP="00EE5F05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     </w:t>
      </w:r>
      <w:r w:rsidR="00EE5F0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</w:t>
      </w:r>
      <w:r w:rsidR="00D5796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</w:t>
      </w:r>
      <w:r w:rsidR="00EE5F0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1.</w:t>
      </w:r>
      <w:r w:rsidR="00EE5F0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Recursos Humanos.</w:t>
      </w:r>
    </w:p>
    <w:p w:rsidR="00714686" w:rsidRDefault="00714686" w:rsidP="00264A50">
      <w:pPr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934056">
        <w:rPr>
          <w:rFonts w:ascii="Arial" w:hAnsi="Arial" w:cs="Arial"/>
          <w:sz w:val="24"/>
          <w:szCs w:val="24"/>
        </w:rPr>
        <w:t>Los recursos humanos para la operación de los Archivos de Trámite son asignados p</w:t>
      </w:r>
      <w:r>
        <w:rPr>
          <w:rFonts w:ascii="Arial" w:hAnsi="Arial" w:cs="Arial"/>
          <w:sz w:val="24"/>
          <w:szCs w:val="24"/>
        </w:rPr>
        <w:t xml:space="preserve">or las Unidades Administrativas, requiriéndose </w:t>
      </w:r>
      <w:r w:rsidRPr="00934056">
        <w:rPr>
          <w:rFonts w:ascii="Arial" w:hAnsi="Arial" w:cs="Arial"/>
          <w:sz w:val="24"/>
          <w:szCs w:val="24"/>
        </w:rPr>
        <w:t xml:space="preserve">de un servidor público por </w:t>
      </w:r>
      <w:r>
        <w:rPr>
          <w:rFonts w:ascii="Arial" w:hAnsi="Arial" w:cs="Arial"/>
          <w:sz w:val="24"/>
          <w:szCs w:val="24"/>
        </w:rPr>
        <w:t>cada una de ellas; por lo que hace al Archivo de Concentración</w:t>
      </w:r>
      <w:r w:rsidRPr="00934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deberá contar, como mínimo, además del </w:t>
      </w:r>
      <w:r w:rsidRPr="00934056">
        <w:rPr>
          <w:rFonts w:ascii="Arial" w:hAnsi="Arial" w:cs="Arial"/>
          <w:sz w:val="24"/>
          <w:szCs w:val="24"/>
        </w:rPr>
        <w:t xml:space="preserve">Coordinador </w:t>
      </w:r>
      <w:r>
        <w:rPr>
          <w:rFonts w:ascii="Arial" w:hAnsi="Arial" w:cs="Arial"/>
          <w:sz w:val="24"/>
          <w:szCs w:val="24"/>
        </w:rPr>
        <w:t>de Archivos, con</w:t>
      </w:r>
      <w:r w:rsidRPr="00934056">
        <w:rPr>
          <w:rFonts w:ascii="Arial" w:hAnsi="Arial" w:cs="Arial"/>
          <w:sz w:val="24"/>
          <w:szCs w:val="24"/>
        </w:rPr>
        <w:t xml:space="preserve"> el Oficial de Archivos de </w:t>
      </w:r>
      <w:r>
        <w:rPr>
          <w:rFonts w:ascii="Arial" w:hAnsi="Arial" w:cs="Arial"/>
          <w:sz w:val="24"/>
          <w:szCs w:val="24"/>
        </w:rPr>
        <w:t>C</w:t>
      </w:r>
      <w:r w:rsidRPr="00934056">
        <w:rPr>
          <w:rFonts w:ascii="Arial" w:hAnsi="Arial" w:cs="Arial"/>
          <w:sz w:val="24"/>
          <w:szCs w:val="24"/>
        </w:rPr>
        <w:t>oncentración</w:t>
      </w:r>
      <w:r>
        <w:rPr>
          <w:rFonts w:ascii="Arial" w:hAnsi="Arial" w:cs="Arial"/>
          <w:sz w:val="24"/>
          <w:szCs w:val="24"/>
        </w:rPr>
        <w:t xml:space="preserve"> y un Auxiliar de Archivo</w:t>
      </w:r>
      <w:r w:rsidRPr="00934056">
        <w:rPr>
          <w:rFonts w:ascii="Arial" w:hAnsi="Arial" w:cs="Arial"/>
          <w:sz w:val="24"/>
          <w:szCs w:val="24"/>
        </w:rPr>
        <w:t xml:space="preserve"> para lograr </w:t>
      </w:r>
      <w:r>
        <w:rPr>
          <w:rFonts w:ascii="Arial" w:hAnsi="Arial" w:cs="Arial"/>
          <w:sz w:val="24"/>
          <w:szCs w:val="24"/>
        </w:rPr>
        <w:t xml:space="preserve">su </w:t>
      </w:r>
      <w:r w:rsidRPr="00934056">
        <w:rPr>
          <w:rFonts w:ascii="Arial" w:hAnsi="Arial" w:cs="Arial"/>
          <w:sz w:val="24"/>
          <w:szCs w:val="24"/>
        </w:rPr>
        <w:t>óptimo funcionamiento</w:t>
      </w:r>
    </w:p>
    <w:p w:rsidR="00D57965" w:rsidRDefault="00DF6722" w:rsidP="00D57965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    </w:t>
      </w:r>
      <w:r w:rsidR="00D5796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</w:t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</w:t>
      </w:r>
      <w:r w:rsidR="00D5796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2. </w:t>
      </w:r>
      <w:r w:rsidR="00D57965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Recursos Materiales.</w:t>
      </w:r>
    </w:p>
    <w:p w:rsidR="007E0C37" w:rsidRDefault="00793147" w:rsidP="00934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un adecuado funcionamiento del  </w:t>
      </w:r>
      <w:r w:rsidR="007E0C37">
        <w:rPr>
          <w:rFonts w:ascii="Arial" w:hAnsi="Arial" w:cs="Arial"/>
          <w:sz w:val="24"/>
          <w:szCs w:val="24"/>
        </w:rPr>
        <w:t>Sistema Institucional de Archivos, se requiere dotar a éste de los siguientes bienes y servicios:</w:t>
      </w:r>
    </w:p>
    <w:p w:rsidR="00A02B9B" w:rsidRPr="006E5AB6" w:rsidRDefault="00A02B9B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>Dos Escritorios</w:t>
      </w:r>
      <w:r w:rsidR="006E5AB6" w:rsidRPr="006E5AB6">
        <w:rPr>
          <w:rFonts w:ascii="Arial" w:hAnsi="Arial" w:cs="Arial"/>
          <w:sz w:val="24"/>
          <w:szCs w:val="24"/>
        </w:rPr>
        <w:t xml:space="preserve"> y dos sillas</w:t>
      </w:r>
    </w:p>
    <w:p w:rsidR="00A02B9B" w:rsidRPr="006E5AB6" w:rsidRDefault="00A02B9B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>Dos Computadoras</w:t>
      </w:r>
    </w:p>
    <w:p w:rsidR="006E5AB6" w:rsidRPr="006E5AB6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>Un Escáner</w:t>
      </w:r>
    </w:p>
    <w:p w:rsidR="006E5AB6" w:rsidRPr="006E5AB6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lastRenderedPageBreak/>
        <w:t xml:space="preserve">Una Mesa de Trabajo  </w:t>
      </w:r>
    </w:p>
    <w:p w:rsidR="00A02B9B" w:rsidRPr="006E5AB6" w:rsidRDefault="00A02B9B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 xml:space="preserve">Internet </w:t>
      </w:r>
      <w:r w:rsidR="009009B9">
        <w:rPr>
          <w:rFonts w:ascii="Arial" w:hAnsi="Arial" w:cs="Arial"/>
          <w:sz w:val="24"/>
          <w:szCs w:val="24"/>
        </w:rPr>
        <w:t>para Archivo de Concentración.</w:t>
      </w:r>
    </w:p>
    <w:p w:rsidR="006E5AB6" w:rsidRPr="006E5AB6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 xml:space="preserve">2,000 </w:t>
      </w:r>
      <w:r w:rsidR="00A02B9B" w:rsidRPr="006E5AB6">
        <w:rPr>
          <w:rFonts w:ascii="Arial" w:hAnsi="Arial" w:cs="Arial"/>
          <w:sz w:val="24"/>
          <w:szCs w:val="24"/>
        </w:rPr>
        <w:t>Cajas de Archivo</w:t>
      </w:r>
      <w:r w:rsidR="009009B9">
        <w:rPr>
          <w:rFonts w:ascii="Arial" w:hAnsi="Arial" w:cs="Arial"/>
          <w:sz w:val="24"/>
          <w:szCs w:val="24"/>
        </w:rPr>
        <w:t xml:space="preserve"> </w:t>
      </w:r>
      <w:r w:rsidR="00AB0EF3">
        <w:rPr>
          <w:rFonts w:ascii="Arial" w:hAnsi="Arial" w:cs="Arial"/>
          <w:sz w:val="24"/>
          <w:szCs w:val="24"/>
        </w:rPr>
        <w:t>Activo</w:t>
      </w:r>
    </w:p>
    <w:p w:rsidR="006E5AB6" w:rsidRPr="006E5AB6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>Servicio de Limpieza</w:t>
      </w:r>
      <w:r w:rsidR="00DF6722">
        <w:rPr>
          <w:rFonts w:ascii="Arial" w:hAnsi="Arial" w:cs="Arial"/>
          <w:sz w:val="24"/>
          <w:szCs w:val="24"/>
        </w:rPr>
        <w:t xml:space="preserve"> por lo menos una vez a la semana</w:t>
      </w:r>
    </w:p>
    <w:p w:rsidR="006E5AB6" w:rsidRPr="006E5AB6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>Señalamiento para el Archivo de Concentración</w:t>
      </w:r>
    </w:p>
    <w:p w:rsidR="006E5AB6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E5AB6">
        <w:rPr>
          <w:rFonts w:ascii="Arial" w:hAnsi="Arial" w:cs="Arial"/>
          <w:sz w:val="24"/>
          <w:szCs w:val="24"/>
        </w:rPr>
        <w:t>Anaqueles</w:t>
      </w:r>
      <w:r w:rsidR="009009B9">
        <w:rPr>
          <w:rFonts w:ascii="Arial" w:hAnsi="Arial" w:cs="Arial"/>
          <w:sz w:val="24"/>
          <w:szCs w:val="24"/>
        </w:rPr>
        <w:t xml:space="preserve"> o Racks</w:t>
      </w:r>
    </w:p>
    <w:p w:rsidR="00AB0EF3" w:rsidRDefault="00AB0EF3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Escalera para Pasillos </w:t>
      </w:r>
    </w:p>
    <w:p w:rsidR="00391EB9" w:rsidRDefault="00391EB9" w:rsidP="00391EB9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4.5. Costos.</w:t>
      </w:r>
    </w:p>
    <w:p w:rsidR="00391EB9" w:rsidRPr="0088776F" w:rsidRDefault="00807A62" w:rsidP="0088776F">
      <w:pPr>
        <w:jc w:val="both"/>
        <w:rPr>
          <w:rFonts w:ascii="Arial" w:hAnsi="Arial" w:cs="Arial"/>
          <w:sz w:val="24"/>
          <w:szCs w:val="24"/>
        </w:rPr>
      </w:pPr>
      <w:r w:rsidRPr="00807A62">
        <w:rPr>
          <w:rFonts w:ascii="Arial" w:hAnsi="Arial" w:cs="Arial"/>
          <w:sz w:val="24"/>
          <w:szCs w:val="24"/>
        </w:rPr>
        <w:t>Los que se determinen para tales efectos</w:t>
      </w:r>
    </w:p>
    <w:p w:rsidR="0088776F" w:rsidRDefault="00E201B1" w:rsidP="0088776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D7F9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Análisis de </w:t>
      </w:r>
      <w:r w:rsidR="0088776F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R</w:t>
      </w:r>
      <w:r w:rsidRPr="00FD7F9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iesgos.</w:t>
      </w:r>
    </w:p>
    <w:p w:rsidR="00E201B1" w:rsidRPr="0088776F" w:rsidRDefault="0088776F" w:rsidP="0088776F">
      <w:pPr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Con la finalidad de </w:t>
      </w:r>
      <w:r w:rsidR="00E201B1" w:rsidRPr="00FD7F9B">
        <w:rPr>
          <w:rFonts w:ascii="Arial" w:hAnsi="Arial" w:cs="Arial"/>
          <w:sz w:val="24"/>
          <w:szCs w:val="24"/>
        </w:rPr>
        <w:t>identificar, jerarquizar</w:t>
      </w:r>
      <w:r>
        <w:rPr>
          <w:rFonts w:ascii="Arial" w:hAnsi="Arial" w:cs="Arial"/>
          <w:sz w:val="24"/>
          <w:szCs w:val="24"/>
        </w:rPr>
        <w:t xml:space="preserve"> y </w:t>
      </w:r>
      <w:r w:rsidR="00E201B1" w:rsidRPr="00FD7F9B">
        <w:rPr>
          <w:rFonts w:ascii="Arial" w:hAnsi="Arial" w:cs="Arial"/>
          <w:sz w:val="24"/>
          <w:szCs w:val="24"/>
        </w:rPr>
        <w:t xml:space="preserve">evaluar las amenazas que pudieran obstaculizar el desarrollo de las actividades para cumplir los objetivos del </w:t>
      </w:r>
      <w:r>
        <w:rPr>
          <w:rFonts w:ascii="Arial" w:hAnsi="Arial" w:cs="Arial"/>
          <w:sz w:val="24"/>
          <w:szCs w:val="24"/>
        </w:rPr>
        <w:t>PADA 2022</w:t>
      </w:r>
      <w:r w:rsidR="00E201B1" w:rsidRPr="00FD7F9B">
        <w:rPr>
          <w:rFonts w:ascii="Arial" w:hAnsi="Arial" w:cs="Arial"/>
          <w:sz w:val="24"/>
          <w:szCs w:val="24"/>
        </w:rPr>
        <w:t>, mismos que a continuación se señalan:</w:t>
      </w:r>
    </w:p>
    <w:tbl>
      <w:tblPr>
        <w:tblStyle w:val="Tablaconcuadrcula"/>
        <w:tblW w:w="7669" w:type="dxa"/>
        <w:tblLook w:val="04A0" w:firstRow="1" w:lastRow="0" w:firstColumn="1" w:lastColumn="0" w:noHBand="0" w:noVBand="1"/>
      </w:tblPr>
      <w:tblGrid>
        <w:gridCol w:w="1993"/>
        <w:gridCol w:w="1956"/>
        <w:gridCol w:w="1070"/>
        <w:gridCol w:w="2650"/>
      </w:tblGrid>
      <w:tr w:rsidR="00C650A7" w:rsidRPr="00FD7F9B" w:rsidTr="00C650A7">
        <w:tc>
          <w:tcPr>
            <w:tcW w:w="1999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1978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Factor de riesgo</w:t>
            </w:r>
          </w:p>
        </w:tc>
        <w:tc>
          <w:tcPr>
            <w:tcW w:w="999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Impacto</w:t>
            </w:r>
          </w:p>
        </w:tc>
        <w:tc>
          <w:tcPr>
            <w:tcW w:w="2693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Acciones de reducción de amenazas.</w:t>
            </w:r>
          </w:p>
        </w:tc>
      </w:tr>
      <w:tr w:rsidR="00C650A7" w:rsidRPr="00FD7F9B" w:rsidTr="00C650A7">
        <w:tc>
          <w:tcPr>
            <w:tcW w:w="1999" w:type="dxa"/>
          </w:tcPr>
          <w:p w:rsidR="00C650A7" w:rsidRPr="00FD7F9B" w:rsidRDefault="00C650A7" w:rsidP="0088776F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 xml:space="preserve">Incumplimiento </w:t>
            </w:r>
            <w:r w:rsidR="0088776F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FD7F9B">
              <w:rPr>
                <w:rFonts w:ascii="Arial" w:hAnsi="Arial" w:cs="Arial"/>
                <w:sz w:val="24"/>
                <w:szCs w:val="24"/>
              </w:rPr>
              <w:t>PADA 202</w:t>
            </w:r>
            <w:r w:rsidR="0088776F">
              <w:rPr>
                <w:rFonts w:ascii="Arial" w:hAnsi="Arial" w:cs="Arial"/>
                <w:sz w:val="24"/>
                <w:szCs w:val="24"/>
              </w:rPr>
              <w:t>2</w:t>
            </w:r>
            <w:r w:rsidRPr="00FD7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Personal sin poder asistir debido a la contingencia de COVID-19.</w:t>
            </w:r>
          </w:p>
        </w:tc>
        <w:tc>
          <w:tcPr>
            <w:tcW w:w="999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2693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Trabajo en línea y reprogramación de actividades.</w:t>
            </w:r>
          </w:p>
        </w:tc>
      </w:tr>
      <w:tr w:rsidR="00C650A7" w:rsidRPr="00FD7F9B" w:rsidTr="00C650A7">
        <w:tc>
          <w:tcPr>
            <w:tcW w:w="1999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Documentación resguardada de manera inadecuada.</w:t>
            </w:r>
          </w:p>
        </w:tc>
        <w:tc>
          <w:tcPr>
            <w:tcW w:w="1978" w:type="dxa"/>
          </w:tcPr>
          <w:p w:rsidR="00C650A7" w:rsidRPr="00FD7F9B" w:rsidRDefault="00C650A7" w:rsidP="00505BA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Carencia de espacios suficientes, carencia de recursos</w:t>
            </w:r>
            <w:r w:rsidR="00505BAB">
              <w:rPr>
                <w:rFonts w:ascii="Arial" w:hAnsi="Arial" w:cs="Arial"/>
                <w:sz w:val="24"/>
                <w:szCs w:val="24"/>
              </w:rPr>
              <w:t xml:space="preserve"> humanos y materiales</w:t>
            </w:r>
            <w:r w:rsidRPr="00FD7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2693" w:type="dxa"/>
          </w:tcPr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D7F9B">
              <w:rPr>
                <w:rFonts w:ascii="Arial" w:hAnsi="Arial" w:cs="Arial"/>
                <w:sz w:val="24"/>
                <w:szCs w:val="24"/>
              </w:rPr>
              <w:t xml:space="preserve">Gestionar </w:t>
            </w:r>
            <w:r w:rsidR="00505BAB">
              <w:rPr>
                <w:rFonts w:ascii="Arial" w:hAnsi="Arial" w:cs="Arial"/>
                <w:sz w:val="24"/>
                <w:szCs w:val="24"/>
              </w:rPr>
              <w:t xml:space="preserve">recursos </w:t>
            </w:r>
            <w:r w:rsidRPr="00FD7F9B">
              <w:rPr>
                <w:rFonts w:ascii="Arial" w:hAnsi="Arial" w:cs="Arial"/>
                <w:sz w:val="24"/>
                <w:szCs w:val="24"/>
              </w:rPr>
              <w:t xml:space="preserve"> y mejoras al inmueble.</w:t>
            </w:r>
          </w:p>
          <w:p w:rsidR="00C650A7" w:rsidRPr="00FD7F9B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122" w:rsidRDefault="00154122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034806" w:rsidRDefault="00034806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034806" w:rsidRDefault="00034806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034806" w:rsidRDefault="00034806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034806" w:rsidRDefault="00034806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034806" w:rsidRDefault="00034806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E201B1" w:rsidRDefault="00154122" w:rsidP="0015412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Marco N</w:t>
      </w:r>
      <w:r w:rsidR="00E201B1" w:rsidRPr="00FD7F9B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ormativo.</w:t>
      </w:r>
    </w:p>
    <w:p w:rsidR="00505BAB" w:rsidRDefault="00505BAB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05BAB">
        <w:rPr>
          <w:rFonts w:ascii="Arial" w:hAnsi="Arial" w:cs="Arial"/>
          <w:sz w:val="24"/>
          <w:szCs w:val="24"/>
        </w:rPr>
        <w:t>Constitución Política de los Estados Unidos Mexicanos</w:t>
      </w:r>
    </w:p>
    <w:p w:rsidR="00505BAB" w:rsidRPr="00505BAB" w:rsidRDefault="00505BAB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Constitución Política del Estado de Jalisco,  </w:t>
      </w:r>
    </w:p>
    <w:p w:rsidR="00E201B1" w:rsidRDefault="00E201B1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05BAB">
        <w:rPr>
          <w:rFonts w:ascii="Arial" w:hAnsi="Arial" w:cs="Arial"/>
          <w:sz w:val="24"/>
          <w:szCs w:val="24"/>
        </w:rPr>
        <w:t>Ley General de Archivos</w:t>
      </w:r>
    </w:p>
    <w:p w:rsidR="00505BAB" w:rsidRPr="00505BAB" w:rsidRDefault="00505BAB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Archivos del Estado de Jalisco y sus Municipios</w:t>
      </w:r>
    </w:p>
    <w:p w:rsidR="00E201B1" w:rsidRPr="00505BAB" w:rsidRDefault="00E201B1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05BAB">
        <w:rPr>
          <w:rFonts w:ascii="Arial" w:hAnsi="Arial" w:cs="Arial"/>
          <w:sz w:val="24"/>
          <w:szCs w:val="24"/>
        </w:rPr>
        <w:t>Ley General de Transparencia y Acceso a la Información Pública</w:t>
      </w:r>
    </w:p>
    <w:p w:rsidR="00B77034" w:rsidRDefault="00B77034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Transparencia y Acceso a la Información Pública del Estado de Jalisco y sus Municipios</w:t>
      </w:r>
      <w:r w:rsidR="00154122">
        <w:rPr>
          <w:rFonts w:ascii="Arial" w:hAnsi="Arial" w:cs="Arial"/>
          <w:sz w:val="24"/>
          <w:szCs w:val="24"/>
        </w:rPr>
        <w:t>,</w:t>
      </w:r>
    </w:p>
    <w:p w:rsidR="00154122" w:rsidRDefault="00154122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Federal de Protección de Datos Personales en Posesión de los Particulares.</w:t>
      </w:r>
    </w:p>
    <w:p w:rsidR="00154122" w:rsidRDefault="00154122" w:rsidP="0015412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4122">
        <w:rPr>
          <w:rFonts w:ascii="Arial" w:hAnsi="Arial" w:cs="Arial"/>
          <w:sz w:val="24"/>
          <w:szCs w:val="24"/>
        </w:rPr>
        <w:t>Ley de Protección de Datos Personales en Posesión de Sujetos Obligados del Estado de Jalisco y sus Municipios</w:t>
      </w:r>
    </w:p>
    <w:p w:rsidR="00154122" w:rsidRDefault="00154122" w:rsidP="0015412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77034">
        <w:rPr>
          <w:rFonts w:ascii="Arial" w:hAnsi="Arial" w:cs="Arial"/>
          <w:sz w:val="24"/>
          <w:szCs w:val="24"/>
        </w:rPr>
        <w:t>Reglamento de la Ley de Transparencia y Acceso a la Información Pública del Estado de Jalisco y sus Municipios</w:t>
      </w:r>
    </w:p>
    <w:p w:rsidR="00154122" w:rsidRDefault="00154122" w:rsidP="0015412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4122">
        <w:rPr>
          <w:rFonts w:ascii="Arial" w:hAnsi="Arial" w:cs="Arial"/>
          <w:sz w:val="24"/>
          <w:szCs w:val="24"/>
        </w:rPr>
        <w:t>Reglamento de la Ley Federal de Archivos</w:t>
      </w:r>
    </w:p>
    <w:p w:rsidR="00B77034" w:rsidRDefault="00B77034" w:rsidP="00B770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77034">
        <w:rPr>
          <w:rFonts w:ascii="Arial" w:hAnsi="Arial" w:cs="Arial"/>
          <w:sz w:val="24"/>
          <w:szCs w:val="24"/>
        </w:rPr>
        <w:t>Reglamento Interior del Instituto de Transparencia e Información Pública de Jalisco</w:t>
      </w:r>
    </w:p>
    <w:p w:rsidR="00E201B1" w:rsidRPr="00505BAB" w:rsidRDefault="00E201B1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05BAB">
        <w:rPr>
          <w:rFonts w:ascii="Arial" w:hAnsi="Arial" w:cs="Arial"/>
          <w:sz w:val="24"/>
          <w:szCs w:val="24"/>
        </w:rPr>
        <w:t>Lineamientos para la Organización y Conservación de los Archivos.</w:t>
      </w:r>
    </w:p>
    <w:p w:rsidR="00E201B1" w:rsidRPr="00FD7F9B" w:rsidRDefault="00E201B1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B21278" w:rsidRPr="00FD7F9B" w:rsidRDefault="00B21278">
      <w:pPr>
        <w:rPr>
          <w:rFonts w:ascii="Arial" w:hAnsi="Arial" w:cs="Arial"/>
          <w:sz w:val="24"/>
          <w:szCs w:val="24"/>
        </w:rPr>
      </w:pPr>
    </w:p>
    <w:sectPr w:rsidR="00B21278" w:rsidRPr="00FD7F9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DA" w:rsidRDefault="000C05DA" w:rsidP="00C650A7">
      <w:pPr>
        <w:spacing w:after="0" w:line="240" w:lineRule="auto"/>
      </w:pPr>
      <w:r>
        <w:separator/>
      </w:r>
    </w:p>
  </w:endnote>
  <w:endnote w:type="continuationSeparator" w:id="0">
    <w:p w:rsidR="000C05DA" w:rsidRDefault="000C05DA" w:rsidP="00C6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19845"/>
      <w:docPartObj>
        <w:docPartGallery w:val="Page Numbers (Bottom of Page)"/>
        <w:docPartUnique/>
      </w:docPartObj>
    </w:sdtPr>
    <w:sdtEndPr/>
    <w:sdtContent>
      <w:p w:rsidR="00714BAE" w:rsidRDefault="00714B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C9" w:rsidRPr="00BF42C9">
          <w:rPr>
            <w:noProof/>
            <w:lang w:val="es-ES"/>
          </w:rPr>
          <w:t>4</w:t>
        </w:r>
        <w:r>
          <w:fldChar w:fldCharType="end"/>
        </w:r>
      </w:p>
    </w:sdtContent>
  </w:sdt>
  <w:p w:rsidR="00714BAE" w:rsidRDefault="00714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DA" w:rsidRDefault="000C05DA" w:rsidP="00C650A7">
      <w:pPr>
        <w:spacing w:after="0" w:line="240" w:lineRule="auto"/>
      </w:pPr>
      <w:r>
        <w:separator/>
      </w:r>
    </w:p>
  </w:footnote>
  <w:footnote w:type="continuationSeparator" w:id="0">
    <w:p w:rsidR="000C05DA" w:rsidRDefault="000C05DA" w:rsidP="00C6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Ind w:w="-133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88"/>
      <w:gridCol w:w="3704"/>
      <w:gridCol w:w="2729"/>
      <w:gridCol w:w="1604"/>
    </w:tblGrid>
    <w:tr w:rsidR="00A03F85" w:rsidRPr="001A5965" w:rsidTr="00A03F85">
      <w:trPr>
        <w:trHeight w:val="415"/>
      </w:trPr>
      <w:tc>
        <w:tcPr>
          <w:tcW w:w="2288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03F85" w:rsidRDefault="000C05DA" w:rsidP="00A03F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A03F85" w:rsidRPr="005124DF" w:rsidRDefault="00A709EF" w:rsidP="00A03F85">
          <w:r>
            <w:rPr>
              <w:noProof/>
            </w:rPr>
            <w:drawing>
              <wp:inline distT="0" distB="0" distL="0" distR="0" wp14:anchorId="7FECFEE6" wp14:editId="41FBB78A">
                <wp:extent cx="1338572" cy="6477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101" cy="666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03F85" w:rsidRPr="00844BBD" w:rsidRDefault="00A709EF" w:rsidP="00F11CF4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 w:rsidRPr="0082786C">
            <w:rPr>
              <w:rFonts w:ascii="Arial Narrow" w:hAnsi="Arial Narrow"/>
              <w:b/>
              <w:color w:val="4F81BD"/>
              <w:sz w:val="28"/>
              <w:szCs w:val="28"/>
            </w:rPr>
            <w:t>Programa Anual</w:t>
          </w:r>
          <w:r w:rsidR="00C650A7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 de Desarrollo Archivístico 202</w:t>
          </w:r>
          <w:r w:rsidR="00F11CF4">
            <w:rPr>
              <w:rFonts w:ascii="Arial Narrow" w:hAnsi="Arial Narrow"/>
              <w:b/>
              <w:color w:val="4F81BD"/>
              <w:sz w:val="28"/>
              <w:szCs w:val="28"/>
            </w:rPr>
            <w:t>2</w:t>
          </w:r>
          <w:r w:rsidRPr="0082786C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 (PADA)</w:t>
          </w:r>
        </w:p>
      </w:tc>
    </w:tr>
    <w:tr w:rsidR="00A03F85" w:rsidRPr="00F73C4F" w:rsidTr="00A03F85">
      <w:trPr>
        <w:trHeight w:val="468"/>
      </w:trPr>
      <w:tc>
        <w:tcPr>
          <w:tcW w:w="2288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03F85" w:rsidRPr="003009CC" w:rsidRDefault="000C05DA" w:rsidP="00A03F85">
          <w:pPr>
            <w:pStyle w:val="Encabezado"/>
          </w:pPr>
        </w:p>
      </w:tc>
      <w:tc>
        <w:tcPr>
          <w:tcW w:w="370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03F85" w:rsidRPr="000B03F7" w:rsidRDefault="00A709EF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03F85" w:rsidRPr="000B03F7" w:rsidRDefault="00C650A7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ITEI-CGEGD-02</w:t>
          </w:r>
        </w:p>
      </w:tc>
      <w:tc>
        <w:tcPr>
          <w:tcW w:w="27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03F85" w:rsidRDefault="00A709EF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03F85" w:rsidRPr="00373973" w:rsidRDefault="007F2E90" w:rsidP="00C650A7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  <w:color w:val="000000" w:themeColor="text1"/>
            </w:rPr>
            <w:t>Enero</w:t>
          </w:r>
          <w:r w:rsidR="00A709EF">
            <w:rPr>
              <w:rFonts w:ascii="Arial Narrow" w:hAnsi="Arial Narrow"/>
              <w:color w:val="000000" w:themeColor="text1"/>
            </w:rPr>
            <w:t xml:space="preserve"> de 202</w:t>
          </w:r>
          <w:r w:rsidR="00F11CF4">
            <w:rPr>
              <w:rFonts w:ascii="Arial Narrow" w:hAnsi="Arial Narrow"/>
              <w:color w:val="000000" w:themeColor="text1"/>
            </w:rPr>
            <w:t>2</w:t>
          </w:r>
          <w:r w:rsidR="00A709EF">
            <w:rPr>
              <w:rFonts w:ascii="Arial Narrow" w:hAnsi="Arial Narrow"/>
              <w:color w:val="000000" w:themeColor="text1"/>
            </w:rPr>
            <w:t xml:space="preserve">. </w:t>
          </w:r>
        </w:p>
      </w:tc>
      <w:tc>
        <w:tcPr>
          <w:tcW w:w="1602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03F85" w:rsidRDefault="00A709EF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03F85" w:rsidRPr="00373973" w:rsidRDefault="00F11CF4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A709EF">
            <w:rPr>
              <w:rFonts w:ascii="Arial Narrow" w:hAnsi="Arial Narrow"/>
            </w:rPr>
            <w:t>.0</w:t>
          </w:r>
        </w:p>
      </w:tc>
    </w:tr>
  </w:tbl>
  <w:p w:rsidR="00A03F85" w:rsidRDefault="000C0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6AA"/>
    <w:multiLevelType w:val="multilevel"/>
    <w:tmpl w:val="8E445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296DB6"/>
    <w:multiLevelType w:val="hybridMultilevel"/>
    <w:tmpl w:val="38A0C17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3F6E7D"/>
    <w:multiLevelType w:val="hybridMultilevel"/>
    <w:tmpl w:val="E43A0C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61"/>
    <w:multiLevelType w:val="multilevel"/>
    <w:tmpl w:val="8E445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77B81"/>
    <w:multiLevelType w:val="multilevel"/>
    <w:tmpl w:val="2A1268A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BC8636B"/>
    <w:multiLevelType w:val="hybridMultilevel"/>
    <w:tmpl w:val="6E2ACA6E"/>
    <w:lvl w:ilvl="0" w:tplc="08E8FD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6C57"/>
    <w:multiLevelType w:val="hybridMultilevel"/>
    <w:tmpl w:val="358C9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448"/>
    <w:multiLevelType w:val="hybridMultilevel"/>
    <w:tmpl w:val="900A3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B26"/>
    <w:multiLevelType w:val="hybridMultilevel"/>
    <w:tmpl w:val="DF44E3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5229"/>
    <w:multiLevelType w:val="hybridMultilevel"/>
    <w:tmpl w:val="66DC7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A2F91"/>
    <w:multiLevelType w:val="hybridMultilevel"/>
    <w:tmpl w:val="E40E7098"/>
    <w:lvl w:ilvl="0" w:tplc="FD6A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3022"/>
    <w:multiLevelType w:val="hybridMultilevel"/>
    <w:tmpl w:val="F05C8982"/>
    <w:lvl w:ilvl="0" w:tplc="3BE40F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84"/>
    <w:multiLevelType w:val="hybridMultilevel"/>
    <w:tmpl w:val="013CB3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6007"/>
    <w:multiLevelType w:val="hybridMultilevel"/>
    <w:tmpl w:val="DF8477C8"/>
    <w:lvl w:ilvl="0" w:tplc="3BE40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2088E"/>
    <w:multiLevelType w:val="multilevel"/>
    <w:tmpl w:val="C6265692"/>
    <w:lvl w:ilvl="0">
      <w:start w:val="3"/>
      <w:numFmt w:val="decimal"/>
      <w:lvlText w:val="%1"/>
      <w:lvlJc w:val="left"/>
      <w:pPr>
        <w:ind w:left="679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332"/>
        <w:jc w:val="left"/>
      </w:pPr>
      <w:rPr>
        <w:rFonts w:ascii="Verdana" w:eastAsia="Verdana" w:hAnsi="Verdana" w:cs="Verdana" w:hint="default"/>
        <w:b/>
        <w:bCs/>
        <w:i w:val="0"/>
        <w:iCs w:val="0"/>
        <w:color w:val="1D1D1D"/>
        <w:spacing w:val="-37"/>
        <w:w w:val="92"/>
        <w:sz w:val="21"/>
        <w:szCs w:val="21"/>
      </w:rPr>
    </w:lvl>
    <w:lvl w:ilvl="2">
      <w:numFmt w:val="bullet"/>
      <w:lvlText w:val="•"/>
      <w:lvlJc w:val="left"/>
      <w:pPr>
        <w:ind w:left="1036" w:hanging="346"/>
      </w:pPr>
      <w:rPr>
        <w:rFonts w:ascii="Microsoft Sans Serif" w:eastAsia="Microsoft Sans Serif" w:hAnsi="Microsoft Sans Serif" w:cs="Microsoft Sans Serif" w:hint="default"/>
        <w:w w:val="106"/>
        <w:position w:val="2"/>
      </w:rPr>
    </w:lvl>
    <w:lvl w:ilvl="3">
      <w:numFmt w:val="bullet"/>
      <w:lvlText w:val="•"/>
      <w:lvlJc w:val="left"/>
      <w:pPr>
        <w:ind w:left="1192" w:hanging="342"/>
      </w:pPr>
      <w:rPr>
        <w:rFonts w:ascii="Microsoft Sans Serif" w:eastAsia="Microsoft Sans Serif" w:hAnsi="Microsoft Sans Serif" w:cs="Microsoft Sans Serif" w:hint="default"/>
        <w:w w:val="107"/>
      </w:rPr>
    </w:lvl>
    <w:lvl w:ilvl="4">
      <w:numFmt w:val="bullet"/>
      <w:lvlText w:val="•"/>
      <w:lvlJc w:val="left"/>
      <w:pPr>
        <w:ind w:left="3334" w:hanging="342"/>
      </w:pPr>
      <w:rPr>
        <w:rFonts w:hint="default"/>
      </w:rPr>
    </w:lvl>
    <w:lvl w:ilvl="5">
      <w:numFmt w:val="bullet"/>
      <w:lvlText w:val="•"/>
      <w:lvlJc w:val="left"/>
      <w:pPr>
        <w:ind w:left="4401" w:hanging="342"/>
      </w:pPr>
      <w:rPr>
        <w:rFonts w:hint="default"/>
      </w:rPr>
    </w:lvl>
    <w:lvl w:ilvl="6">
      <w:numFmt w:val="bullet"/>
      <w:lvlText w:val="•"/>
      <w:lvlJc w:val="left"/>
      <w:pPr>
        <w:ind w:left="5469" w:hanging="342"/>
      </w:pPr>
      <w:rPr>
        <w:rFonts w:hint="default"/>
      </w:rPr>
    </w:lvl>
    <w:lvl w:ilvl="7">
      <w:numFmt w:val="bullet"/>
      <w:lvlText w:val="•"/>
      <w:lvlJc w:val="left"/>
      <w:pPr>
        <w:ind w:left="6536" w:hanging="342"/>
      </w:pPr>
      <w:rPr>
        <w:rFonts w:hint="default"/>
      </w:rPr>
    </w:lvl>
    <w:lvl w:ilvl="8">
      <w:numFmt w:val="bullet"/>
      <w:lvlText w:val="•"/>
      <w:lvlJc w:val="left"/>
      <w:pPr>
        <w:ind w:left="7603" w:hanging="342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1"/>
    <w:rsid w:val="0001633B"/>
    <w:rsid w:val="00022EFA"/>
    <w:rsid w:val="00025CF3"/>
    <w:rsid w:val="00034806"/>
    <w:rsid w:val="00092EE4"/>
    <w:rsid w:val="00094612"/>
    <w:rsid w:val="000A0389"/>
    <w:rsid w:val="000B3BF4"/>
    <w:rsid w:val="000C05DA"/>
    <w:rsid w:val="000C1160"/>
    <w:rsid w:val="000E0536"/>
    <w:rsid w:val="001338C9"/>
    <w:rsid w:val="001372C1"/>
    <w:rsid w:val="00154122"/>
    <w:rsid w:val="00162462"/>
    <w:rsid w:val="001D5D04"/>
    <w:rsid w:val="001E094A"/>
    <w:rsid w:val="002076AF"/>
    <w:rsid w:val="00264A50"/>
    <w:rsid w:val="002845D0"/>
    <w:rsid w:val="002E4398"/>
    <w:rsid w:val="003061E9"/>
    <w:rsid w:val="003062B1"/>
    <w:rsid w:val="00391EB9"/>
    <w:rsid w:val="0039426B"/>
    <w:rsid w:val="003A339B"/>
    <w:rsid w:val="003B0E4A"/>
    <w:rsid w:val="003B4F1F"/>
    <w:rsid w:val="003C7DE8"/>
    <w:rsid w:val="003D7BEA"/>
    <w:rsid w:val="00425DE0"/>
    <w:rsid w:val="0044642D"/>
    <w:rsid w:val="0045726C"/>
    <w:rsid w:val="00470CDE"/>
    <w:rsid w:val="00473089"/>
    <w:rsid w:val="00481C0B"/>
    <w:rsid w:val="00492FB6"/>
    <w:rsid w:val="00505BAB"/>
    <w:rsid w:val="00515A0A"/>
    <w:rsid w:val="005229CE"/>
    <w:rsid w:val="005B3A81"/>
    <w:rsid w:val="005D6244"/>
    <w:rsid w:val="005D6887"/>
    <w:rsid w:val="005E5CDB"/>
    <w:rsid w:val="005E71B2"/>
    <w:rsid w:val="0061079D"/>
    <w:rsid w:val="006304D4"/>
    <w:rsid w:val="006409D4"/>
    <w:rsid w:val="00641A15"/>
    <w:rsid w:val="00660AC2"/>
    <w:rsid w:val="0066536E"/>
    <w:rsid w:val="006855E8"/>
    <w:rsid w:val="006861FB"/>
    <w:rsid w:val="00696B24"/>
    <w:rsid w:val="006C1CA6"/>
    <w:rsid w:val="006E5AB6"/>
    <w:rsid w:val="006E7255"/>
    <w:rsid w:val="006F19AD"/>
    <w:rsid w:val="00714686"/>
    <w:rsid w:val="00714BAE"/>
    <w:rsid w:val="007261AF"/>
    <w:rsid w:val="00762C78"/>
    <w:rsid w:val="0077069D"/>
    <w:rsid w:val="00782DB9"/>
    <w:rsid w:val="007832CC"/>
    <w:rsid w:val="00793147"/>
    <w:rsid w:val="00796521"/>
    <w:rsid w:val="007B43EE"/>
    <w:rsid w:val="007D191B"/>
    <w:rsid w:val="007D3D52"/>
    <w:rsid w:val="007E0C37"/>
    <w:rsid w:val="007F2E90"/>
    <w:rsid w:val="0080034E"/>
    <w:rsid w:val="00807A62"/>
    <w:rsid w:val="00807E39"/>
    <w:rsid w:val="00821505"/>
    <w:rsid w:val="0083579A"/>
    <w:rsid w:val="0088776F"/>
    <w:rsid w:val="0089320E"/>
    <w:rsid w:val="008A7431"/>
    <w:rsid w:val="008E60F4"/>
    <w:rsid w:val="009009B9"/>
    <w:rsid w:val="00934056"/>
    <w:rsid w:val="00937B1B"/>
    <w:rsid w:val="00964A81"/>
    <w:rsid w:val="00964DD2"/>
    <w:rsid w:val="00974448"/>
    <w:rsid w:val="009D3EF2"/>
    <w:rsid w:val="009F4CDF"/>
    <w:rsid w:val="00A02B9B"/>
    <w:rsid w:val="00A0509B"/>
    <w:rsid w:val="00A27ABA"/>
    <w:rsid w:val="00A3307C"/>
    <w:rsid w:val="00A709EF"/>
    <w:rsid w:val="00A87AA8"/>
    <w:rsid w:val="00A921E5"/>
    <w:rsid w:val="00AB0EF3"/>
    <w:rsid w:val="00B04DBB"/>
    <w:rsid w:val="00B21278"/>
    <w:rsid w:val="00B74F3F"/>
    <w:rsid w:val="00B77034"/>
    <w:rsid w:val="00B82266"/>
    <w:rsid w:val="00BA6427"/>
    <w:rsid w:val="00BB2DD3"/>
    <w:rsid w:val="00BD497B"/>
    <w:rsid w:val="00BE0F7C"/>
    <w:rsid w:val="00BF42C9"/>
    <w:rsid w:val="00C650A7"/>
    <w:rsid w:val="00C70782"/>
    <w:rsid w:val="00C8218F"/>
    <w:rsid w:val="00C86679"/>
    <w:rsid w:val="00C94B0F"/>
    <w:rsid w:val="00CD7834"/>
    <w:rsid w:val="00D116DB"/>
    <w:rsid w:val="00D2685E"/>
    <w:rsid w:val="00D574F2"/>
    <w:rsid w:val="00D57965"/>
    <w:rsid w:val="00DA5089"/>
    <w:rsid w:val="00DA5C26"/>
    <w:rsid w:val="00DB1FC4"/>
    <w:rsid w:val="00DD71AA"/>
    <w:rsid w:val="00DF6722"/>
    <w:rsid w:val="00E16974"/>
    <w:rsid w:val="00E201B1"/>
    <w:rsid w:val="00E52BB9"/>
    <w:rsid w:val="00EE5F05"/>
    <w:rsid w:val="00F06640"/>
    <w:rsid w:val="00F11CF4"/>
    <w:rsid w:val="00FD7F9B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6521D-62FC-4488-9061-8E69BC35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B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1B1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201B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201B1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201B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201B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1B1"/>
    <w:rPr>
      <w:rFonts w:ascii="Tahoma" w:eastAsiaTheme="minorEastAsia" w:hAnsi="Tahoma" w:cs="Tahoma"/>
      <w:sz w:val="16"/>
      <w:szCs w:val="16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5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0A7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66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i.org.mx/v4/index.php/transparencia/fraccion/art8-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1972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Montserrat Hernández Martínez</dc:creator>
  <cp:lastModifiedBy>Maria del Rosario Navarro Zamora</cp:lastModifiedBy>
  <cp:revision>2</cp:revision>
  <cp:lastPrinted>2022-01-19T16:43:00Z</cp:lastPrinted>
  <dcterms:created xsi:type="dcterms:W3CDTF">2022-02-01T16:12:00Z</dcterms:created>
  <dcterms:modified xsi:type="dcterms:W3CDTF">2022-02-01T16:12:00Z</dcterms:modified>
</cp:coreProperties>
</file>