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METODOLOGÍA DEL PLAN ANUAL DE VERIFICACIÓN </w:t>
      </w:r>
      <w:r w:rsidR="00273686">
        <w:rPr>
          <w:rFonts w:cstheme="minorHAnsi"/>
          <w:b/>
          <w:bCs/>
          <w:color w:val="215868" w:themeColor="accent5" w:themeShade="80"/>
          <w:lang w:val="es-ES"/>
        </w:rPr>
        <w:t xml:space="preserve"> Y VIGILANCIA 20</w:t>
      </w:r>
      <w:r w:rsidR="005D00AE">
        <w:rPr>
          <w:rFonts w:cstheme="minorHAnsi"/>
          <w:b/>
          <w:bCs/>
          <w:color w:val="215868" w:themeColor="accent5" w:themeShade="80"/>
          <w:lang w:val="es-ES"/>
        </w:rPr>
        <w:t>20</w:t>
      </w:r>
      <w:bookmarkStart w:id="0" w:name="_GoBack"/>
      <w:bookmarkEnd w:id="0"/>
    </w:p>
    <w:p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ACCIONES DE VERIFICACIÓN </w:t>
      </w:r>
    </w:p>
    <w:p w:rsidR="001A16C0" w:rsidRPr="003A0F83" w:rsidRDefault="001A16C0" w:rsidP="001A16C0">
      <w:pPr>
        <w:jc w:val="both"/>
        <w:rPr>
          <w:rFonts w:cstheme="minorHAnsi"/>
        </w:rPr>
      </w:pPr>
      <w:r w:rsidRPr="003A0F83">
        <w:rPr>
          <w:rFonts w:cstheme="minorHAnsi"/>
        </w:rPr>
        <w:t xml:space="preserve">Se realizará un procedimiento de verificación virtual a </w:t>
      </w:r>
      <w:r w:rsidR="00501B6E">
        <w:rPr>
          <w:rFonts w:cstheme="minorHAnsi"/>
        </w:rPr>
        <w:t>los sujetos obligados contemplados en el artículo 24 de</w:t>
      </w:r>
      <w:r w:rsidRPr="003A0F83">
        <w:rPr>
          <w:rFonts w:cstheme="minorHAnsi"/>
        </w:rPr>
        <w:t xml:space="preserve"> la Ley de Transparencia y Acceso a la Información Pública del Estado de Jalisco y sus Municipios</w:t>
      </w:r>
      <w:r w:rsidR="002218AC">
        <w:rPr>
          <w:rFonts w:cstheme="minorHAnsi"/>
        </w:rPr>
        <w:t xml:space="preserve"> (en adelante Ley de Transparencia),</w:t>
      </w:r>
      <w:r w:rsidRPr="003A0F83">
        <w:rPr>
          <w:rFonts w:cstheme="minorHAnsi"/>
        </w:rPr>
        <w:t xml:space="preserve"> los cuales se dividirán </w:t>
      </w:r>
      <w:r w:rsidRPr="002B4D07">
        <w:rPr>
          <w:rFonts w:cstheme="minorHAnsi"/>
        </w:rPr>
        <w:t>en 2 ejercicios de verificación:</w:t>
      </w:r>
    </w:p>
    <w:p w:rsidR="001A16C0" w:rsidRPr="003A0F83"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 xml:space="preserve">ransparencia publicadas en el </w:t>
      </w:r>
      <w:r w:rsidR="00732FDD">
        <w:rPr>
          <w:rFonts w:cstheme="minorHAnsi"/>
        </w:rPr>
        <w:t>p</w:t>
      </w:r>
      <w:r w:rsidRPr="003A0F83">
        <w:rPr>
          <w:rFonts w:cstheme="minorHAnsi"/>
        </w:rPr>
        <w:t xml:space="preserve">ortal de </w:t>
      </w:r>
      <w:r>
        <w:rPr>
          <w:rFonts w:cstheme="minorHAnsi"/>
        </w:rPr>
        <w:t>Internet</w:t>
      </w:r>
      <w:r w:rsidRPr="003A0F83">
        <w:rPr>
          <w:rFonts w:cstheme="minorHAnsi"/>
        </w:rPr>
        <w:t xml:space="preserve"> oficial del sujeto obligado</w:t>
      </w:r>
      <w:r w:rsidR="002218AC">
        <w:rPr>
          <w:rFonts w:cstheme="minorHAnsi"/>
        </w:rPr>
        <w:t>, y</w:t>
      </w:r>
    </w:p>
    <w:p w:rsidR="001A16C0" w:rsidRDefault="001A16C0" w:rsidP="001A16C0">
      <w:pPr>
        <w:pStyle w:val="Prrafodelista"/>
        <w:numPr>
          <w:ilvl w:val="0"/>
          <w:numId w:val="2"/>
        </w:numPr>
        <w:jc w:val="both"/>
        <w:rPr>
          <w:rFonts w:cstheme="minorHAnsi"/>
        </w:rPr>
      </w:pPr>
      <w:r w:rsidRPr="003A0F83">
        <w:rPr>
          <w:rFonts w:cstheme="minorHAnsi"/>
        </w:rPr>
        <w:t xml:space="preserve">Verificación de las obligaciones de </w:t>
      </w:r>
      <w:r w:rsidR="00732FDD">
        <w:rPr>
          <w:rFonts w:cstheme="minorHAnsi"/>
        </w:rPr>
        <w:t>t</w:t>
      </w:r>
      <w:r w:rsidRPr="003A0F83">
        <w:rPr>
          <w:rFonts w:cstheme="minorHAnsi"/>
        </w:rPr>
        <w:t>ransparencia</w:t>
      </w:r>
      <w:r w:rsidRPr="003A0F83">
        <w:rPr>
          <w:rFonts w:ascii="Arial" w:hAnsi="Arial" w:cs="Arial"/>
        </w:rPr>
        <w:t xml:space="preserve"> </w:t>
      </w:r>
      <w:r w:rsidRPr="003A0F83">
        <w:rPr>
          <w:rFonts w:cstheme="minorHAnsi"/>
        </w:rPr>
        <w:t>publicadas en el Sistema de Portales de Obligaciones de Transparencia</w:t>
      </w:r>
      <w:r w:rsidR="00732FDD">
        <w:rPr>
          <w:rFonts w:cstheme="minorHAnsi"/>
        </w:rPr>
        <w:t xml:space="preserve"> </w:t>
      </w:r>
      <w:r w:rsidR="002B4D07">
        <w:rPr>
          <w:rFonts w:cstheme="minorHAnsi"/>
        </w:rPr>
        <w:t xml:space="preserve">(SIPOT) </w:t>
      </w:r>
      <w:r w:rsidR="00732FDD">
        <w:rPr>
          <w:rFonts w:cstheme="minorHAnsi"/>
        </w:rPr>
        <w:t>de la Plataforma Nacional de Transparencia</w:t>
      </w:r>
      <w:r w:rsidR="002B4D07">
        <w:rPr>
          <w:rFonts w:cstheme="minorHAnsi"/>
        </w:rPr>
        <w:t xml:space="preserve"> (PNT)</w:t>
      </w:r>
      <w:r w:rsidR="00732FDD">
        <w:rPr>
          <w:rFonts w:cstheme="minorHAnsi"/>
        </w:rPr>
        <w:t>.</w:t>
      </w:r>
    </w:p>
    <w:p w:rsidR="009837E3" w:rsidRDefault="009837E3" w:rsidP="001A16C0">
      <w:pPr>
        <w:jc w:val="center"/>
        <w:rPr>
          <w:rFonts w:cstheme="minorHAnsi"/>
          <w:b/>
          <w:color w:val="215868"/>
          <w:sz w:val="24"/>
        </w:rPr>
      </w:pPr>
    </w:p>
    <w:p w:rsidR="001A16C0" w:rsidRPr="0078747A" w:rsidRDefault="001A16C0" w:rsidP="001A16C0">
      <w:pPr>
        <w:jc w:val="center"/>
        <w:rPr>
          <w:rFonts w:cstheme="minorHAnsi"/>
          <w:b/>
          <w:color w:val="215868"/>
          <w:sz w:val="24"/>
        </w:rPr>
      </w:pPr>
      <w:r w:rsidRPr="0078747A">
        <w:rPr>
          <w:rFonts w:cstheme="minorHAnsi"/>
          <w:b/>
          <w:color w:val="215868"/>
          <w:sz w:val="24"/>
        </w:rPr>
        <w:t>ETAPAS DE LOS EJERCICIOS DE VERIFICACIÓN</w:t>
      </w:r>
    </w:p>
    <w:p w:rsidR="009837E3" w:rsidRDefault="009837E3" w:rsidP="001A16C0">
      <w:pPr>
        <w:jc w:val="center"/>
        <w:rPr>
          <w:b/>
          <w:color w:val="215868" w:themeColor="accent5" w:themeShade="80"/>
        </w:rPr>
      </w:pPr>
    </w:p>
    <w:p w:rsidR="001A16C0" w:rsidRPr="003A0F83" w:rsidRDefault="001A16C0" w:rsidP="001A16C0">
      <w:pPr>
        <w:jc w:val="center"/>
        <w:rPr>
          <w:b/>
          <w:color w:val="215868" w:themeColor="accent5" w:themeShade="80"/>
        </w:rPr>
      </w:pPr>
      <w:r w:rsidRPr="003A0F83">
        <w:rPr>
          <w:b/>
          <w:color w:val="215868" w:themeColor="accent5" w:themeShade="80"/>
        </w:rPr>
        <w:t>PRIMER EJERCICIO</w:t>
      </w:r>
    </w:p>
    <w:p w:rsidR="001A16C0" w:rsidRPr="003A0F83" w:rsidRDefault="001A16C0" w:rsidP="001A16C0">
      <w:pPr>
        <w:jc w:val="center"/>
        <w:rPr>
          <w:b/>
          <w:color w:val="215868" w:themeColor="accent5" w:themeShade="80"/>
        </w:rPr>
      </w:pPr>
      <w:r>
        <w:rPr>
          <w:b/>
          <w:color w:val="215868" w:themeColor="accent5" w:themeShade="80"/>
        </w:rPr>
        <w:t xml:space="preserve">A. </w:t>
      </w:r>
      <w:r w:rsidRPr="003A0F83">
        <w:rPr>
          <w:b/>
          <w:color w:val="215868" w:themeColor="accent5" w:themeShade="80"/>
        </w:rPr>
        <w:t xml:space="preserve">VERIFICACIÓN A PORTALES DE </w:t>
      </w:r>
      <w:r>
        <w:rPr>
          <w:b/>
          <w:color w:val="215868" w:themeColor="accent5" w:themeShade="80"/>
        </w:rPr>
        <w:t>INTERNET</w:t>
      </w:r>
    </w:p>
    <w:p w:rsidR="001A16C0" w:rsidRPr="003A0F83" w:rsidRDefault="003B4422" w:rsidP="001A16C0">
      <w:pPr>
        <w:jc w:val="both"/>
      </w:pPr>
      <w:r w:rsidRPr="003B4422">
        <w:t xml:space="preserve">La  verificación virtual de las obligaciones de transparencia publicadas en el portal de Internet se realizará de manera aleatoria y tendrá efectos vinculantes para los sujetos obligados </w:t>
      </w:r>
      <w:r w:rsidRPr="00FD4B1B">
        <w:t>contemplados</w:t>
      </w:r>
      <w:r w:rsidRPr="003B4422">
        <w:t xml:space="preserve"> en el artículo 24 de la Ley de Transparenci</w:t>
      </w:r>
      <w:r w:rsidRPr="0069429D">
        <w:t xml:space="preserve">a. </w:t>
      </w:r>
      <w:r w:rsidR="001A16C0" w:rsidRPr="003A0F83">
        <w:t xml:space="preserve">Se </w:t>
      </w:r>
      <w:r w:rsidR="00FD4B1B" w:rsidRPr="00FD4B1B">
        <w:t>observarán</w:t>
      </w:r>
      <w:r w:rsidR="001A16C0" w:rsidRPr="00FD4B1B">
        <w:t xml:space="preserve"> los</w:t>
      </w:r>
      <w:r w:rsidR="001A16C0" w:rsidRPr="003A0F83">
        <w:t xml:space="preserve"> criterios sustantivos y adjetivos establecidos </w:t>
      </w:r>
      <w:r w:rsidR="00191957">
        <w:t xml:space="preserve">en el Acuerdo del otrora Consejo del Instituto de Transparencia e Información Pública de Jalisco mediante el cual se emiten los </w:t>
      </w:r>
      <w:r w:rsidR="001A16C0" w:rsidRPr="003A0F83">
        <w:t xml:space="preserve">Lineamientos </w:t>
      </w:r>
      <w:r w:rsidR="00191957">
        <w:t>Generales de Publicación y Actualización de Información fundamental, que deber</w:t>
      </w:r>
      <w:r w:rsidR="008B658C">
        <w:t xml:space="preserve">án observar los sujetos </w:t>
      </w:r>
      <w:r w:rsidR="00191957">
        <w:t>obligados previstos en la Ley de Transparencia y Acceso a la Información Pública del Est</w:t>
      </w:r>
      <w:r w:rsidR="008B658C">
        <w:t>ado de Jalisco y sus Municipios.</w:t>
      </w:r>
    </w:p>
    <w:p w:rsidR="00E40AAD" w:rsidRDefault="001A16C0" w:rsidP="001A16C0">
      <w:pPr>
        <w:jc w:val="both"/>
        <w:rPr>
          <w:color w:val="00B050"/>
        </w:rPr>
      </w:pPr>
      <w:r w:rsidRPr="003A0F83">
        <w:t>La verificación</w:t>
      </w:r>
      <w:r w:rsidR="00191957">
        <w:t xml:space="preserve"> virtual</w:t>
      </w:r>
      <w:r w:rsidRPr="003A0F83">
        <w:t xml:space="preserve"> de </w:t>
      </w:r>
      <w:r w:rsidR="003B4422">
        <w:t>la información fundamental</w:t>
      </w:r>
      <w:r w:rsidR="00B30538">
        <w:t xml:space="preserve"> general y específica </w:t>
      </w:r>
      <w:r w:rsidR="00191957">
        <w:t xml:space="preserve">contemplada </w:t>
      </w:r>
      <w:r w:rsidR="00B30538">
        <w:t>en los artículos del 8° al 16-Quáter de</w:t>
      </w:r>
      <w:r w:rsidR="00191957">
        <w:t xml:space="preserve"> la Ley de Transparencia, publicadas en </w:t>
      </w:r>
      <w:r w:rsidRPr="003A0F83">
        <w:t xml:space="preserve">los </w:t>
      </w:r>
      <w:r w:rsidR="00191957">
        <w:t>p</w:t>
      </w:r>
      <w:r w:rsidRPr="003A0F83">
        <w:t>ortales de Internet oficiales de los sujetos obligados</w:t>
      </w:r>
      <w:r w:rsidR="002218AC">
        <w:t xml:space="preserve"> </w:t>
      </w:r>
      <w:r w:rsidR="00273686">
        <w:t>se realizará</w:t>
      </w:r>
      <w:r w:rsidRPr="003A0F83">
        <w:t xml:space="preserve"> </w:t>
      </w:r>
      <w:r w:rsidR="00E40AAD" w:rsidRPr="00B30538">
        <w:t xml:space="preserve">utilizando de base </w:t>
      </w:r>
      <w:r w:rsidR="00E40AAD" w:rsidRPr="004D4CB3">
        <w:t>e</w:t>
      </w:r>
      <w:r w:rsidR="00C9664C" w:rsidRPr="004D4CB3">
        <w:t xml:space="preserve">l </w:t>
      </w:r>
      <w:r w:rsidR="00C9664C" w:rsidRPr="004D4CB3">
        <w:rPr>
          <w:i/>
        </w:rPr>
        <w:t>Manual d</w:t>
      </w:r>
      <w:r w:rsidR="007609B4" w:rsidRPr="004D4CB3">
        <w:rPr>
          <w:i/>
        </w:rPr>
        <w:t xml:space="preserve">e </w:t>
      </w:r>
      <w:r w:rsidR="00C9664C" w:rsidRPr="004D4CB3">
        <w:rPr>
          <w:i/>
        </w:rPr>
        <w:t xml:space="preserve">Procedimientos y Metodología de Evaluación para verificar el cumplimiento de las obligaciones de transparencia que los sujetos obligados del ámbito federal deben de publicar en los Portales de Internet y en </w:t>
      </w:r>
      <w:r w:rsidR="007609B4" w:rsidRPr="004D4CB3">
        <w:rPr>
          <w:i/>
        </w:rPr>
        <w:t>La Plataforma Nacional De Transparencia</w:t>
      </w:r>
      <w:r w:rsidR="00020A1D" w:rsidRPr="004D4CB3">
        <w:rPr>
          <w:rStyle w:val="Refdenotaalpie"/>
        </w:rPr>
        <w:footnoteReference w:id="1"/>
      </w:r>
      <w:r w:rsidR="00C9664C" w:rsidRPr="004D4CB3">
        <w:t>,</w:t>
      </w:r>
      <w:r w:rsidR="00E40AAD" w:rsidRPr="004D4CB3">
        <w:t xml:space="preserve"> no obstante lo anterior se adecuará a las necesidades del Estado de Jalisco.</w:t>
      </w:r>
    </w:p>
    <w:p w:rsidR="00E95BC3" w:rsidRDefault="00E95BC3" w:rsidP="001A16C0">
      <w:pPr>
        <w:jc w:val="both"/>
      </w:pPr>
      <w:r w:rsidRPr="00E95BC3">
        <w:t>En ese sentido, se iniciará con los trabajos señalados</w:t>
      </w:r>
      <w:r w:rsidR="00595ED9">
        <w:t xml:space="preserve">  en la presente anualidad</w:t>
      </w:r>
      <w:r>
        <w:t xml:space="preserve"> </w:t>
      </w:r>
      <w:r w:rsidRPr="007A2231">
        <w:t>y concluirá hasta que en su caso se haya realizado la vigilancia respectiva;</w:t>
      </w:r>
      <w:r>
        <w:t xml:space="preserve"> </w:t>
      </w:r>
      <w:r w:rsidRPr="00E95BC3">
        <w:t>además los procesos de verificación y vigilancia se realizarán por bloques de sujetos obligados, según lo determine la Coordinación General de Evaluación y Gestión Documental.</w:t>
      </w:r>
    </w:p>
    <w:p w:rsidR="00E95BC3" w:rsidRDefault="00E95BC3" w:rsidP="001A16C0">
      <w:pPr>
        <w:jc w:val="both"/>
      </w:pP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AL PORTAL DE INTERNET</w:t>
      </w:r>
    </w:p>
    <w:p w:rsidR="00585FB4" w:rsidRDefault="00585FB4" w:rsidP="001A16C0">
      <w:pPr>
        <w:jc w:val="both"/>
      </w:pPr>
      <w:r>
        <w:t>Ahora bien, para el caso que nos ocupa el proceso de verificación se puede resumir de la siguiente manera:</w:t>
      </w:r>
    </w:p>
    <w:p w:rsidR="00585FB4" w:rsidRPr="00B30538" w:rsidRDefault="00585FB4" w:rsidP="00585FB4">
      <w:pPr>
        <w:pStyle w:val="Prrafodelista"/>
        <w:numPr>
          <w:ilvl w:val="0"/>
          <w:numId w:val="9"/>
        </w:numPr>
        <w:jc w:val="both"/>
        <w:rPr>
          <w:b/>
        </w:rPr>
      </w:pPr>
      <w:r w:rsidRPr="00B30538">
        <w:rPr>
          <w:b/>
        </w:rPr>
        <w:t xml:space="preserve">VERIFICACIÓN: </w:t>
      </w:r>
    </w:p>
    <w:p w:rsidR="00585FB4" w:rsidRPr="00B30538" w:rsidRDefault="00115344" w:rsidP="00585FB4">
      <w:pPr>
        <w:pStyle w:val="Prrafodelista"/>
        <w:numPr>
          <w:ilvl w:val="1"/>
          <w:numId w:val="9"/>
        </w:numPr>
        <w:jc w:val="both"/>
      </w:pPr>
      <w:r w:rsidRPr="00B30538">
        <w:t>Dictamen de cumplimiento (No se detectaron inconsistencias en la verificación)</w:t>
      </w:r>
      <w:r w:rsidR="007F56D3" w:rsidRPr="00B30538">
        <w:t>.</w:t>
      </w:r>
    </w:p>
    <w:p w:rsidR="0080435B" w:rsidRDefault="00115344" w:rsidP="00115344">
      <w:pPr>
        <w:pStyle w:val="Prrafodelista"/>
        <w:ind w:left="1800"/>
        <w:jc w:val="both"/>
      </w:pPr>
      <w:r w:rsidRPr="00B30538">
        <w:rPr>
          <w:b/>
        </w:rPr>
        <w:t>1.1.2</w:t>
      </w:r>
      <w:r w:rsidRPr="00B30538">
        <w:t xml:space="preserve"> Concluye la verificación</w:t>
      </w:r>
      <w:r w:rsidR="0080435B">
        <w:t xml:space="preserve"> </w:t>
      </w:r>
    </w:p>
    <w:p w:rsidR="00115344" w:rsidRDefault="0080435B" w:rsidP="00115344">
      <w:pPr>
        <w:pStyle w:val="Prrafodelista"/>
        <w:ind w:left="1800"/>
        <w:jc w:val="both"/>
      </w:pPr>
      <w:r>
        <w:rPr>
          <w:b/>
        </w:rPr>
        <w:t>1.1.3</w:t>
      </w:r>
      <w:r>
        <w:t xml:space="preserve"> Archiva de manera definitiva el procedimiento de verificación 20</w:t>
      </w:r>
      <w:r w:rsidR="005D00AE">
        <w:t>20</w:t>
      </w:r>
      <w:r w:rsidR="007F56D3" w:rsidRPr="00B30538">
        <w:t>.</w:t>
      </w:r>
    </w:p>
    <w:p w:rsidR="00106DA8" w:rsidRPr="00B30538" w:rsidRDefault="00106DA8" w:rsidP="00115344">
      <w:pPr>
        <w:pStyle w:val="Prrafodelista"/>
        <w:ind w:left="1800"/>
        <w:jc w:val="both"/>
      </w:pPr>
    </w:p>
    <w:p w:rsidR="00585FB4" w:rsidRPr="00B30538" w:rsidRDefault="00585FB4" w:rsidP="00585FB4">
      <w:pPr>
        <w:pStyle w:val="Prrafodelista"/>
        <w:numPr>
          <w:ilvl w:val="1"/>
          <w:numId w:val="9"/>
        </w:numPr>
        <w:jc w:val="both"/>
      </w:pPr>
      <w:r w:rsidRPr="00B30538">
        <w:t>Dictamen de incumplimiento</w:t>
      </w:r>
      <w:r w:rsidR="00115344" w:rsidRPr="00B30538">
        <w:t xml:space="preserve"> (Se detectaron inconsistencias en la verificación)</w:t>
      </w:r>
      <w:r w:rsidR="007F56D3" w:rsidRPr="00B30538">
        <w:t>.</w:t>
      </w:r>
    </w:p>
    <w:p w:rsidR="00585FB4" w:rsidRPr="0084024A" w:rsidRDefault="00585FB4" w:rsidP="00585FB4">
      <w:pPr>
        <w:pStyle w:val="Prrafodelista"/>
        <w:numPr>
          <w:ilvl w:val="2"/>
          <w:numId w:val="9"/>
        </w:numPr>
        <w:jc w:val="both"/>
      </w:pPr>
      <w:r w:rsidRPr="00B30538">
        <w:t xml:space="preserve">Requiere </w:t>
      </w:r>
      <w:r w:rsidR="00100A7A" w:rsidRPr="00B30538">
        <w:t xml:space="preserve">al sujeto obligado un </w:t>
      </w:r>
      <w:r w:rsidRPr="00B30538">
        <w:t>informe</w:t>
      </w:r>
      <w:r w:rsidR="00100A7A" w:rsidRPr="00B30538">
        <w:t xml:space="preserve">, para que en el plazo </w:t>
      </w:r>
      <w:r w:rsidR="00100A7A" w:rsidRPr="0084024A">
        <w:t xml:space="preserve">de </w:t>
      </w:r>
      <w:r w:rsidR="00EB2708">
        <w:t xml:space="preserve">hasta </w:t>
      </w:r>
      <w:r w:rsidRPr="0084024A">
        <w:t xml:space="preserve">20 días </w:t>
      </w:r>
      <w:r w:rsidR="00100A7A" w:rsidRPr="0084024A">
        <w:t xml:space="preserve">hábiles </w:t>
      </w:r>
      <w:r w:rsidRPr="0084024A">
        <w:t>subsane</w:t>
      </w:r>
      <w:r w:rsidR="007674F6" w:rsidRPr="0084024A">
        <w:t xml:space="preserve"> las</w:t>
      </w:r>
      <w:r w:rsidRPr="0084024A">
        <w:t xml:space="preserve"> inconsistencias detectadas)</w:t>
      </w:r>
      <w:r w:rsidR="007F56D3" w:rsidRPr="0084024A">
        <w:t>.</w:t>
      </w:r>
    </w:p>
    <w:p w:rsidR="00585FB4" w:rsidRPr="00B30538" w:rsidRDefault="00585FB4" w:rsidP="00585FB4">
      <w:pPr>
        <w:pStyle w:val="Prrafodelista"/>
        <w:ind w:left="2520"/>
        <w:jc w:val="both"/>
      </w:pPr>
    </w:p>
    <w:p w:rsidR="00585FB4" w:rsidRPr="00B30538" w:rsidRDefault="0069429D" w:rsidP="00585FB4">
      <w:pPr>
        <w:pStyle w:val="Prrafodelista"/>
        <w:numPr>
          <w:ilvl w:val="0"/>
          <w:numId w:val="9"/>
        </w:numPr>
        <w:jc w:val="both"/>
        <w:rPr>
          <w:b/>
        </w:rPr>
      </w:pPr>
      <w:r>
        <w:rPr>
          <w:b/>
        </w:rPr>
        <w:t>VIGILANCIA</w:t>
      </w:r>
      <w:r w:rsidR="00585FB4" w:rsidRPr="00B30538">
        <w:rPr>
          <w:b/>
        </w:rPr>
        <w:t>:</w:t>
      </w:r>
    </w:p>
    <w:p w:rsidR="00585FB4" w:rsidRPr="00B30538" w:rsidRDefault="00585FB4" w:rsidP="00115344">
      <w:pPr>
        <w:pStyle w:val="Prrafodelista"/>
        <w:numPr>
          <w:ilvl w:val="1"/>
          <w:numId w:val="9"/>
        </w:numPr>
        <w:jc w:val="both"/>
      </w:pPr>
      <w:r w:rsidRPr="00B30538">
        <w:t>En base al informe</w:t>
      </w:r>
      <w:r w:rsidR="001969B4" w:rsidRPr="00B30538">
        <w:rPr>
          <w:rStyle w:val="Refdenotaalpie"/>
        </w:rPr>
        <w:footnoteReference w:id="2"/>
      </w:r>
      <w:r w:rsidRPr="00B30538">
        <w:t xml:space="preserve"> enviado </w:t>
      </w:r>
      <w:r w:rsidR="00115344" w:rsidRPr="00B30538">
        <w:t xml:space="preserve">por el sujeto obligado, se vuelve a verificar </w:t>
      </w:r>
      <w:r w:rsidR="00106DA8">
        <w:t xml:space="preserve">(vigilancia) </w:t>
      </w:r>
      <w:r w:rsidR="00115344" w:rsidRPr="00B30538">
        <w:t>las inconsistencias detectadas en el dictamen de incumplimiento hecho en la verificación.</w:t>
      </w:r>
    </w:p>
    <w:p w:rsidR="00115344" w:rsidRPr="00B30538" w:rsidRDefault="00115344" w:rsidP="00115344">
      <w:pPr>
        <w:pStyle w:val="Prrafodelista"/>
        <w:numPr>
          <w:ilvl w:val="1"/>
          <w:numId w:val="9"/>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w:t>
      </w:r>
      <w:r w:rsidR="007F56D3" w:rsidRPr="00B30538">
        <w:t>realizadas</w:t>
      </w:r>
      <w:r w:rsidRPr="00B30538">
        <w:t xml:space="preserve"> en el dictamen de incumplimiento hecho en la verificación.</w:t>
      </w:r>
    </w:p>
    <w:p w:rsidR="00115344" w:rsidRPr="00B30538" w:rsidRDefault="00115344" w:rsidP="00115344">
      <w:pPr>
        <w:pStyle w:val="Prrafodelista"/>
        <w:numPr>
          <w:ilvl w:val="2"/>
          <w:numId w:val="9"/>
        </w:numPr>
        <w:jc w:val="both"/>
      </w:pPr>
      <w:r w:rsidRPr="00B30538">
        <w:t>Dictamen de cumplimiento.</w:t>
      </w:r>
    </w:p>
    <w:p w:rsidR="00115344" w:rsidRDefault="00115344" w:rsidP="00115344">
      <w:pPr>
        <w:pStyle w:val="Prrafodelista"/>
        <w:numPr>
          <w:ilvl w:val="2"/>
          <w:numId w:val="9"/>
        </w:numPr>
        <w:jc w:val="both"/>
      </w:pPr>
      <w:r w:rsidRPr="00B30538">
        <w:t>Concluye la v</w:t>
      </w:r>
      <w:r w:rsidR="00106DA8">
        <w:t>igilancia</w:t>
      </w:r>
      <w:r w:rsidRPr="00B30538">
        <w:t>.</w:t>
      </w:r>
    </w:p>
    <w:p w:rsidR="0080435B" w:rsidRDefault="0080435B" w:rsidP="00115344">
      <w:pPr>
        <w:pStyle w:val="Prrafodelista"/>
        <w:numPr>
          <w:ilvl w:val="2"/>
          <w:numId w:val="9"/>
        </w:numPr>
        <w:jc w:val="both"/>
      </w:pPr>
      <w:r>
        <w:t>Archiva de manera definitiva el procedimiento de verificación 20</w:t>
      </w:r>
      <w:r w:rsidR="005D00AE">
        <w:t>20</w:t>
      </w:r>
      <w:r w:rsidRPr="00B30538">
        <w:t>.</w:t>
      </w:r>
    </w:p>
    <w:p w:rsidR="00106DA8" w:rsidRPr="00B30538" w:rsidRDefault="00106DA8" w:rsidP="00106DA8">
      <w:pPr>
        <w:pStyle w:val="Prrafodelista"/>
        <w:ind w:left="2520"/>
        <w:jc w:val="both"/>
      </w:pPr>
    </w:p>
    <w:p w:rsidR="00BE2DF2" w:rsidRPr="00B30538" w:rsidRDefault="00BE2DF2" w:rsidP="00BE2DF2">
      <w:pPr>
        <w:pStyle w:val="Prrafodelista"/>
        <w:numPr>
          <w:ilvl w:val="1"/>
          <w:numId w:val="9"/>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w:t>
      </w:r>
      <w:r w:rsidR="007F56D3" w:rsidRPr="00B30538">
        <w:t>elaboradas</w:t>
      </w:r>
      <w:r w:rsidRPr="00B30538">
        <w:t xml:space="preserve"> en el dictamen de incumplimiento hecho en la verificación.</w:t>
      </w:r>
    </w:p>
    <w:p w:rsidR="0080435B" w:rsidRDefault="00D93AE6" w:rsidP="00FF1C40">
      <w:pPr>
        <w:pStyle w:val="Prrafodelista"/>
        <w:numPr>
          <w:ilvl w:val="2"/>
          <w:numId w:val="9"/>
        </w:numPr>
        <w:jc w:val="both"/>
      </w:pPr>
      <w:r>
        <w:t xml:space="preserve">Se </w:t>
      </w:r>
      <w:r w:rsidR="003C54CA" w:rsidRPr="00B30538">
        <w:t>n</w:t>
      </w:r>
      <w:r w:rsidR="00BE2DF2" w:rsidRPr="00B30538">
        <w:t xml:space="preserve">otifica </w:t>
      </w:r>
      <w:r w:rsidR="00186CB4">
        <w:t>al Titular del Sujeto Obligado</w:t>
      </w:r>
      <w:r w:rsidR="0080435B">
        <w:t xml:space="preserve"> las medidas de apremio o sanciones que el Pleno determine.</w:t>
      </w:r>
    </w:p>
    <w:p w:rsidR="0080435B" w:rsidRDefault="0080435B" w:rsidP="00FF1C40">
      <w:pPr>
        <w:pStyle w:val="Prrafodelista"/>
        <w:numPr>
          <w:ilvl w:val="2"/>
          <w:numId w:val="9"/>
        </w:numPr>
        <w:jc w:val="both"/>
      </w:pPr>
      <w:r>
        <w:t>Se da vista al órgano interno de control del sujeto obligado para que realice las acciones que conforme a derecho determine.</w:t>
      </w:r>
    </w:p>
    <w:p w:rsidR="0080435B" w:rsidRDefault="0080435B" w:rsidP="00FF1C40">
      <w:pPr>
        <w:pStyle w:val="Prrafodelista"/>
        <w:numPr>
          <w:ilvl w:val="2"/>
          <w:numId w:val="9"/>
        </w:numPr>
        <w:jc w:val="both"/>
      </w:pPr>
      <w:r>
        <w:t>Dictamen de incumplimiento.</w:t>
      </w:r>
    </w:p>
    <w:p w:rsidR="0080435B" w:rsidRDefault="0080435B" w:rsidP="00FF1C40">
      <w:pPr>
        <w:pStyle w:val="Prrafodelista"/>
        <w:numPr>
          <w:ilvl w:val="2"/>
          <w:numId w:val="9"/>
        </w:numPr>
        <w:jc w:val="both"/>
      </w:pPr>
      <w:r>
        <w:t xml:space="preserve">Concluye la vigilancia. </w:t>
      </w:r>
    </w:p>
    <w:p w:rsidR="0080435B" w:rsidRDefault="0080435B" w:rsidP="0080435B">
      <w:pPr>
        <w:pStyle w:val="Prrafodelista"/>
        <w:numPr>
          <w:ilvl w:val="2"/>
          <w:numId w:val="9"/>
        </w:numPr>
        <w:jc w:val="both"/>
      </w:pPr>
      <w:r>
        <w:t>Archiva de manera definitiva el procedimiento de verificación 20</w:t>
      </w:r>
      <w:r w:rsidR="00D10839">
        <w:t>20</w:t>
      </w:r>
      <w:r w:rsidRPr="00B30538">
        <w:t>.</w:t>
      </w: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215DFF" w:rsidRDefault="00215DFF" w:rsidP="001A16C0">
      <w:pPr>
        <w:jc w:val="center"/>
        <w:rPr>
          <w:rFonts w:cstheme="minorHAnsi"/>
          <w:b/>
          <w:bCs/>
          <w:color w:val="215868" w:themeColor="accent5" w:themeShade="80"/>
          <w:lang w:val="es-ES"/>
        </w:rPr>
      </w:pPr>
    </w:p>
    <w:p w:rsidR="001A16C0" w:rsidRPr="003A0F83" w:rsidRDefault="00215DFF" w:rsidP="001A16C0">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001A16C0" w:rsidRPr="003A0F83">
        <w:rPr>
          <w:rFonts w:cstheme="minorHAnsi"/>
          <w:b/>
          <w:bCs/>
          <w:color w:val="215868" w:themeColor="accent5" w:themeShade="80"/>
          <w:lang w:val="es-ES"/>
        </w:rPr>
        <w:t>PROCE</w:t>
      </w:r>
      <w:r>
        <w:rPr>
          <w:rFonts w:cstheme="minorHAnsi"/>
          <w:b/>
          <w:bCs/>
          <w:color w:val="215868" w:themeColor="accent5" w:themeShade="80"/>
          <w:lang w:val="es-ES"/>
        </w:rPr>
        <w:t>SOS</w:t>
      </w:r>
      <w:r w:rsidR="001A16C0" w:rsidRPr="003A0F83">
        <w:rPr>
          <w:rFonts w:cstheme="minorHAnsi"/>
          <w:b/>
          <w:bCs/>
          <w:color w:val="215868" w:themeColor="accent5" w:themeShade="80"/>
          <w:lang w:val="es-ES"/>
        </w:rPr>
        <w:t xml:space="preserve"> DE VERIFICACIÓN</w:t>
      </w:r>
      <w:r w:rsidR="001A16C0">
        <w:rPr>
          <w:rFonts w:cstheme="minorHAnsi"/>
          <w:b/>
          <w:bCs/>
          <w:color w:val="215868" w:themeColor="accent5" w:themeShade="80"/>
          <w:lang w:val="es-ES"/>
        </w:rPr>
        <w:t xml:space="preserve"> AL PORTAL DE INTERNET</w:t>
      </w:r>
    </w:p>
    <w:p w:rsidR="001A16C0" w:rsidRDefault="001A16C0" w:rsidP="001A16C0">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1A16C0" w:rsidRPr="003A0F83" w:rsidTr="00C60522">
        <w:trPr>
          <w:trHeight w:val="445"/>
          <w:tblHeader/>
          <w:jc w:val="center"/>
        </w:trPr>
        <w:tc>
          <w:tcPr>
            <w:tcW w:w="1013"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1A16C0" w:rsidRPr="003A0F83" w:rsidRDefault="001A16C0" w:rsidP="00C60522">
            <w:pPr>
              <w:jc w:val="center"/>
              <w:rPr>
                <w:rFonts w:cstheme="minorHAnsi"/>
                <w:b/>
                <w:color w:val="FFFFFF"/>
              </w:rPr>
            </w:pPr>
            <w:r w:rsidRPr="003A0F83">
              <w:rPr>
                <w:rFonts w:cstheme="minorHAnsi"/>
                <w:b/>
                <w:color w:val="FFFFFF"/>
              </w:rPr>
              <w:t>Descripción</w:t>
            </w:r>
          </w:p>
        </w:tc>
      </w:tr>
      <w:tr w:rsidR="001A16C0" w:rsidRPr="003A0F83" w:rsidTr="00C60522">
        <w:trPr>
          <w:trHeight w:val="693"/>
          <w:jc w:val="center"/>
        </w:trPr>
        <w:tc>
          <w:tcPr>
            <w:tcW w:w="1013" w:type="pct"/>
            <w:vMerge w:val="restart"/>
            <w:textDirection w:val="btLr"/>
            <w:vAlign w:val="center"/>
          </w:tcPr>
          <w:p w:rsidR="001A16C0" w:rsidRPr="003A0F83" w:rsidRDefault="001A16C0" w:rsidP="00C60522">
            <w:pPr>
              <w:ind w:left="113" w:right="113"/>
              <w:jc w:val="center"/>
              <w:rPr>
                <w:rFonts w:cstheme="minorHAnsi"/>
              </w:rPr>
            </w:pPr>
            <w:r w:rsidRPr="003A0F83">
              <w:rPr>
                <w:rFonts w:cstheme="minorHAnsi"/>
              </w:rPr>
              <w:t xml:space="preserve">Verificación sobre publicación </w:t>
            </w:r>
            <w:r w:rsidR="00886071">
              <w:rPr>
                <w:rFonts w:cstheme="minorHAnsi"/>
              </w:rPr>
              <w:t xml:space="preserve">y actualización </w:t>
            </w:r>
            <w:r w:rsidR="00D10839">
              <w:rPr>
                <w:rFonts w:cstheme="minorHAnsi"/>
              </w:rPr>
              <w:t>de Información f</w:t>
            </w:r>
            <w:r w:rsidRPr="003A0F83">
              <w:rPr>
                <w:rFonts w:cstheme="minorHAnsi"/>
              </w:rPr>
              <w:t>undamental</w:t>
            </w:r>
          </w:p>
        </w:tc>
        <w:tc>
          <w:tcPr>
            <w:tcW w:w="1286" w:type="pct"/>
            <w:vAlign w:val="center"/>
          </w:tcPr>
          <w:p w:rsidR="001A16C0" w:rsidRPr="003A0F83" w:rsidRDefault="001A16C0" w:rsidP="00D10839">
            <w:pPr>
              <w:numPr>
                <w:ilvl w:val="0"/>
                <w:numId w:val="3"/>
              </w:numPr>
              <w:tabs>
                <w:tab w:val="clear" w:pos="720"/>
              </w:tabs>
              <w:spacing w:after="0" w:line="240" w:lineRule="auto"/>
              <w:ind w:left="372"/>
              <w:jc w:val="both"/>
              <w:rPr>
                <w:rFonts w:cstheme="minorHAnsi"/>
              </w:rPr>
            </w:pPr>
            <w:r w:rsidRPr="003A0F83">
              <w:rPr>
                <w:rFonts w:cstheme="minorHAnsi"/>
              </w:rPr>
              <w:t>Aplicación del Instrumento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D10839">
            <w:pPr>
              <w:spacing w:line="240" w:lineRule="auto"/>
              <w:jc w:val="both"/>
              <w:rPr>
                <w:rFonts w:cstheme="minorHAnsi"/>
              </w:rPr>
            </w:pPr>
            <w:r w:rsidRPr="003A0F83">
              <w:rPr>
                <w:rFonts w:cstheme="minorHAnsi"/>
              </w:rPr>
              <w:t>Llenar el instrumento de aplicación e</w:t>
            </w:r>
            <w:r w:rsidR="00D10839">
              <w:rPr>
                <w:rFonts w:cstheme="minorHAnsi"/>
              </w:rPr>
              <w:t>n el momento de la verificación</w:t>
            </w:r>
            <w:r w:rsidR="00113B0D">
              <w:rPr>
                <w:rFonts w:cstheme="minorHAnsi"/>
              </w:rPr>
              <w:t xml:space="preserve">. </w:t>
            </w:r>
            <w:r w:rsidRPr="003A0F83">
              <w:rPr>
                <w:rFonts w:cstheme="minorHAnsi"/>
              </w:rPr>
              <w:t xml:space="preserve"> </w:t>
            </w:r>
          </w:p>
        </w:tc>
      </w:tr>
      <w:tr w:rsidR="001A16C0" w:rsidRPr="003A0F83" w:rsidTr="00C60522">
        <w:trPr>
          <w:trHeight w:val="70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Captura</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Registrar en una base de datos los valores asignados para cada interrogante del instrumento y describir los hallazgos u observaciones.</w:t>
            </w:r>
          </w:p>
        </w:tc>
      </w:tr>
      <w:tr w:rsidR="001A16C0" w:rsidRPr="003A0F83" w:rsidTr="00C60522">
        <w:trPr>
          <w:trHeight w:val="507"/>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Procesamiento</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Generación de tablas por </w:t>
            </w:r>
            <w:r w:rsidR="006D48D8">
              <w:rPr>
                <w:rFonts w:cstheme="minorHAnsi"/>
              </w:rPr>
              <w:t xml:space="preserve">incisos, </w:t>
            </w:r>
            <w:r w:rsidRPr="003A0F83">
              <w:rPr>
                <w:rFonts w:cstheme="minorHAnsi"/>
              </w:rPr>
              <w:t>fracciones</w:t>
            </w:r>
            <w:r w:rsidR="006D48D8">
              <w:rPr>
                <w:rFonts w:cstheme="minorHAnsi"/>
              </w:rPr>
              <w:t xml:space="preserve"> y</w:t>
            </w:r>
            <w:r w:rsidRPr="003A0F83">
              <w:rPr>
                <w:rFonts w:cstheme="minorHAnsi"/>
              </w:rPr>
              <w:t xml:space="preserve"> artículos.</w:t>
            </w:r>
          </w:p>
        </w:tc>
      </w:tr>
      <w:tr w:rsidR="001A16C0" w:rsidRPr="003A0F83" w:rsidTr="00C60522">
        <w:trPr>
          <w:jc w:val="center"/>
        </w:trPr>
        <w:tc>
          <w:tcPr>
            <w:tcW w:w="1013" w:type="pct"/>
            <w:vMerge w:val="restart"/>
            <w:textDirection w:val="btLr"/>
            <w:vAlign w:val="center"/>
          </w:tcPr>
          <w:p w:rsidR="001A16C0" w:rsidRPr="003A0F83" w:rsidRDefault="001A16C0" w:rsidP="00113B0D">
            <w:pPr>
              <w:ind w:left="113" w:right="113"/>
              <w:jc w:val="center"/>
              <w:rPr>
                <w:rFonts w:cstheme="minorHAnsi"/>
              </w:rPr>
            </w:pPr>
            <w:r w:rsidRPr="003A0F83">
              <w:rPr>
                <w:rFonts w:cstheme="minorHAnsi"/>
              </w:rPr>
              <w:t>Análisis de los hallazgos y construcción de</w:t>
            </w:r>
            <w:r w:rsidR="00113B0D">
              <w:rPr>
                <w:rFonts w:cstheme="minorHAnsi"/>
              </w:rPr>
              <w:t xml:space="preserve">l dictamen de verificación </w:t>
            </w:r>
            <w:r w:rsidRPr="003A0F83">
              <w:rPr>
                <w:rFonts w:cstheme="minorHAnsi"/>
              </w:rPr>
              <w:t xml:space="preserve"> </w:t>
            </w:r>
          </w:p>
        </w:tc>
        <w:tc>
          <w:tcPr>
            <w:tcW w:w="1286" w:type="pct"/>
            <w:vAlign w:val="center"/>
          </w:tcPr>
          <w:p w:rsidR="001A16C0" w:rsidRPr="003A0F83" w:rsidRDefault="001A16C0"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1A16C0" w:rsidRPr="003A0F83" w:rsidRDefault="001A16C0" w:rsidP="00AA601F">
            <w:pPr>
              <w:spacing w:line="240" w:lineRule="auto"/>
              <w:rPr>
                <w:rFonts w:cstheme="minorHAnsi"/>
              </w:rPr>
            </w:pPr>
            <w:r w:rsidRPr="003A0F83">
              <w:rPr>
                <w:rFonts w:cstheme="minorHAnsi"/>
              </w:rPr>
              <w:t>Coordinación</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1A16C0" w:rsidRPr="003A0F83" w:rsidTr="00C60522">
        <w:trPr>
          <w:trHeight w:val="97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D10839">
            <w:pPr>
              <w:numPr>
                <w:ilvl w:val="0"/>
                <w:numId w:val="4"/>
              </w:numPr>
              <w:spacing w:after="0" w:line="240" w:lineRule="auto"/>
              <w:jc w:val="both"/>
              <w:rPr>
                <w:rFonts w:cstheme="minorHAnsi"/>
              </w:rPr>
            </w:pPr>
            <w:r w:rsidRPr="003A0F83">
              <w:rPr>
                <w:rFonts w:cstheme="minorHAnsi"/>
              </w:rPr>
              <w:t>Elaboración de</w:t>
            </w:r>
            <w:r w:rsidR="003C1AEE">
              <w:rPr>
                <w:rFonts w:cstheme="minorHAnsi"/>
              </w:rPr>
              <w:t>l dictamen de verificación</w:t>
            </w:r>
            <w:r w:rsidRPr="003A0F83">
              <w:rPr>
                <w:rFonts w:cstheme="minorHAnsi"/>
              </w:rPr>
              <w:t xml:space="preserve"> </w:t>
            </w:r>
          </w:p>
        </w:tc>
        <w:tc>
          <w:tcPr>
            <w:tcW w:w="816" w:type="pct"/>
            <w:vAlign w:val="center"/>
          </w:tcPr>
          <w:p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Análisis de los resultados obtenidos, construcción de</w:t>
            </w:r>
            <w:r w:rsidR="00113B0D">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1A16C0" w:rsidRPr="003A0F83" w:rsidTr="00C60522">
        <w:trPr>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1A16C0" w:rsidP="00D10839">
            <w:pPr>
              <w:numPr>
                <w:ilvl w:val="0"/>
                <w:numId w:val="4"/>
              </w:numPr>
              <w:spacing w:after="0" w:line="240" w:lineRule="auto"/>
              <w:jc w:val="both"/>
              <w:rPr>
                <w:rFonts w:cstheme="minorHAnsi"/>
              </w:rPr>
            </w:pPr>
            <w:r w:rsidRPr="003A0F83">
              <w:rPr>
                <w:rFonts w:cstheme="minorHAnsi"/>
              </w:rPr>
              <w:t>Remisión de</w:t>
            </w:r>
            <w:r w:rsidR="003C1AEE">
              <w:rPr>
                <w:rFonts w:cstheme="minorHAnsi"/>
              </w:rPr>
              <w:t>l dictamen de verificación</w:t>
            </w:r>
            <w:r w:rsidRPr="003A0F83">
              <w:rPr>
                <w:rFonts w:cstheme="minorHAnsi"/>
              </w:rPr>
              <w:t xml:space="preserve"> para su Aprobación</w:t>
            </w:r>
          </w:p>
        </w:tc>
        <w:tc>
          <w:tcPr>
            <w:tcW w:w="816" w:type="pct"/>
            <w:vAlign w:val="center"/>
          </w:tcPr>
          <w:p w:rsidR="001A16C0" w:rsidRPr="003A0F83" w:rsidRDefault="00CA16FF" w:rsidP="00AA601F">
            <w:pPr>
              <w:spacing w:line="240" w:lineRule="auto"/>
              <w:rPr>
                <w:rFonts w:cstheme="minorHAnsi"/>
              </w:rPr>
            </w:pPr>
            <w:r>
              <w:rPr>
                <w:rFonts w:cstheme="minorHAnsi"/>
              </w:rPr>
              <w:t>Coordinación General</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1A16C0" w:rsidRPr="003A0F83" w:rsidTr="00C60522">
        <w:trPr>
          <w:trHeight w:val="534"/>
          <w:jc w:val="center"/>
        </w:trPr>
        <w:tc>
          <w:tcPr>
            <w:tcW w:w="1013" w:type="pct"/>
            <w:vMerge/>
            <w:vAlign w:val="center"/>
          </w:tcPr>
          <w:p w:rsidR="001A16C0" w:rsidRPr="003A0F83" w:rsidRDefault="001A16C0" w:rsidP="00C60522">
            <w:pPr>
              <w:rPr>
                <w:rFonts w:cstheme="minorHAnsi"/>
              </w:rPr>
            </w:pPr>
          </w:p>
        </w:tc>
        <w:tc>
          <w:tcPr>
            <w:tcW w:w="1286" w:type="pct"/>
            <w:vAlign w:val="center"/>
          </w:tcPr>
          <w:p w:rsidR="001A16C0" w:rsidRPr="003A0F83" w:rsidRDefault="003C1AEE" w:rsidP="00AA601F">
            <w:pPr>
              <w:numPr>
                <w:ilvl w:val="0"/>
                <w:numId w:val="4"/>
              </w:numPr>
              <w:spacing w:after="0" w:line="240" w:lineRule="auto"/>
              <w:rPr>
                <w:rFonts w:cstheme="minorHAnsi"/>
              </w:rPr>
            </w:pPr>
            <w:r>
              <w:rPr>
                <w:rFonts w:cstheme="minorHAnsi"/>
              </w:rPr>
              <w:t>Notificación</w:t>
            </w:r>
          </w:p>
        </w:tc>
        <w:tc>
          <w:tcPr>
            <w:tcW w:w="816" w:type="pct"/>
            <w:vAlign w:val="center"/>
          </w:tcPr>
          <w:p w:rsidR="001A16C0" w:rsidRPr="003A0F83" w:rsidRDefault="001A16C0" w:rsidP="00AA601F">
            <w:pPr>
              <w:spacing w:line="240" w:lineRule="auto"/>
              <w:rPr>
                <w:rFonts w:cstheme="minorHAnsi"/>
              </w:rPr>
            </w:pPr>
            <w:r w:rsidRPr="003A0F83">
              <w:rPr>
                <w:rFonts w:cstheme="minorHAnsi"/>
              </w:rPr>
              <w:t>Secretaría Ejecutiva</w:t>
            </w:r>
          </w:p>
        </w:tc>
        <w:tc>
          <w:tcPr>
            <w:tcW w:w="1885" w:type="pct"/>
            <w:vAlign w:val="center"/>
          </w:tcPr>
          <w:p w:rsidR="001A16C0" w:rsidRPr="003A0F83" w:rsidRDefault="001A16C0" w:rsidP="00AA601F">
            <w:pPr>
              <w:spacing w:line="240" w:lineRule="auto"/>
              <w:jc w:val="both"/>
              <w:rPr>
                <w:rFonts w:cstheme="minorHAnsi"/>
              </w:rPr>
            </w:pPr>
            <w:r w:rsidRPr="003A0F83">
              <w:rPr>
                <w:rFonts w:cstheme="minorHAnsi"/>
              </w:rPr>
              <w:t xml:space="preserve">Remitir </w:t>
            </w:r>
            <w:r w:rsidR="008B658C">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1A16C0" w:rsidRDefault="001A16C0" w:rsidP="001A16C0">
      <w:pPr>
        <w:jc w:val="center"/>
        <w:rPr>
          <w:rFonts w:cstheme="minorHAnsi"/>
          <w:b/>
          <w:color w:val="215868"/>
        </w:rPr>
      </w:pPr>
    </w:p>
    <w:p w:rsidR="009837E3" w:rsidRDefault="009837E3"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886071">
        <w:rPr>
          <w:rFonts w:cstheme="minorHAnsi"/>
        </w:rPr>
        <w:t xml:space="preserve">y actualización </w:t>
      </w:r>
      <w:r w:rsidRPr="003A0F83">
        <w:rPr>
          <w:rFonts w:cstheme="minorHAnsi"/>
        </w:rPr>
        <w:t>de la información fundamental se ev</w:t>
      </w:r>
      <w:r>
        <w:rPr>
          <w:rFonts w:cstheme="minorHAnsi"/>
        </w:rPr>
        <w:t xml:space="preserve">alúa utilizando una </w:t>
      </w:r>
      <w:r w:rsidRPr="0084024A">
        <w:rPr>
          <w:rFonts w:cstheme="minorHAnsi"/>
        </w:rPr>
        <w:t>escala 0-1,</w:t>
      </w:r>
      <w:r>
        <w:rPr>
          <w:rFonts w:cstheme="minorHAnsi"/>
        </w:rPr>
        <w:t xml:space="preserve"> </w:t>
      </w:r>
      <w:r w:rsidRPr="003A0F83">
        <w:rPr>
          <w:rFonts w:cstheme="minorHAnsi"/>
        </w:rPr>
        <w:t xml:space="preserve">donde el valor ‘0’ significa que NO </w:t>
      </w:r>
      <w:r w:rsidR="003C1AEE">
        <w:rPr>
          <w:rFonts w:cstheme="minorHAnsi"/>
        </w:rPr>
        <w:t>CUMPLE</w:t>
      </w:r>
      <w:r>
        <w:rPr>
          <w:rFonts w:cstheme="minorHAnsi"/>
        </w:rPr>
        <w:t xml:space="preserve">, ‘1’ significa que SÍ </w:t>
      </w:r>
      <w:r w:rsidR="003C1AEE">
        <w:rPr>
          <w:rFonts w:cstheme="minorHAnsi"/>
        </w:rPr>
        <w:t>CUMPLE</w:t>
      </w:r>
      <w:r>
        <w:rPr>
          <w:rFonts w:cstheme="minorHAnsi"/>
        </w:rPr>
        <w:t xml:space="preserve"> y ‘0.5’ significa que </w:t>
      </w:r>
      <w:r w:rsidR="003C1AEE">
        <w:rPr>
          <w:rFonts w:cstheme="minorHAnsi"/>
        </w:rPr>
        <w:t xml:space="preserve">CUMPLE </w:t>
      </w:r>
      <w:r>
        <w:rPr>
          <w:rFonts w:cstheme="minorHAnsi"/>
        </w:rPr>
        <w:t>PARCIALMENTE con el aspecto verificado</w:t>
      </w:r>
      <w:r w:rsidRPr="003A0F83">
        <w:rPr>
          <w:rFonts w:cstheme="minorHAnsi"/>
        </w:rPr>
        <w:t xml:space="preserve">. La calificación se calcula bajo las siguientes fórmulas: </w:t>
      </w:r>
    </w:p>
    <w:p w:rsidR="00273686" w:rsidRDefault="00273686" w:rsidP="001A16C0">
      <w:pPr>
        <w:spacing w:before="120" w:after="120"/>
        <w:ind w:firstLine="6"/>
        <w:jc w:val="both"/>
        <w:rPr>
          <w:rFonts w:cstheme="minorHAnsi"/>
        </w:rPr>
      </w:pPr>
    </w:p>
    <w:p w:rsidR="00AA601F" w:rsidRDefault="00AA601F" w:rsidP="001A16C0">
      <w:pPr>
        <w:spacing w:before="120" w:after="120"/>
        <w:ind w:firstLine="6"/>
        <w:jc w:val="both"/>
        <w:rPr>
          <w:rFonts w:cstheme="minorHAnsi"/>
        </w:rPr>
      </w:pPr>
    </w:p>
    <w:p w:rsidR="00AA601F" w:rsidRPr="003A0F83" w:rsidRDefault="00AA601F" w:rsidP="001A16C0">
      <w:pPr>
        <w:spacing w:before="120" w:after="120"/>
        <w:ind w:firstLine="6"/>
        <w:jc w:val="both"/>
        <w:rPr>
          <w:rFonts w:cstheme="minorHAnsi"/>
        </w:rPr>
      </w:pPr>
    </w:p>
    <w:p w:rsidR="001A16C0" w:rsidRDefault="001A16C0" w:rsidP="001A16C0">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por </w:t>
      </w:r>
      <w:r>
        <w:rPr>
          <w:rFonts w:cstheme="minorHAnsi"/>
          <w:b/>
          <w:color w:val="215868"/>
        </w:rPr>
        <w:t>Fracción</w:t>
      </w:r>
    </w:p>
    <w:p w:rsidR="001A16C0" w:rsidRPr="008E4291" w:rsidRDefault="006B30B6"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r>
            <m:rPr>
              <m:sty m:val="bi"/>
            </m:rPr>
            <w:rPr>
              <w:rFonts w:ascii="Cambria Math" w:hAnsi="Cambria Math" w:cs="Arial"/>
            </w:rPr>
            <m:t xml:space="preserve"> </m:t>
          </m:r>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Pr="00B01518"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6B30B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B01518" w:rsidRDefault="006B30B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Parámetros Verificados</w:t>
      </w:r>
    </w:p>
    <w:p w:rsidR="001A16C0"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arámetros Verificados</w:t>
      </w:r>
    </w:p>
    <w:p w:rsidR="001A16C0" w:rsidRPr="001A16C0" w:rsidRDefault="001A16C0" w:rsidP="001A16C0">
      <w:pPr>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1A16C0" w:rsidRDefault="001A16C0" w:rsidP="001A16C0">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Cumplimiento Global</w:t>
      </w:r>
    </w:p>
    <w:p w:rsidR="001A16C0" w:rsidRPr="008E4291" w:rsidRDefault="006B30B6"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rsidR="001A16C0" w:rsidRDefault="001A16C0" w:rsidP="001A16C0">
      <w:pPr>
        <w:spacing w:before="120"/>
        <w:jc w:val="both"/>
        <w:rPr>
          <w:rFonts w:ascii="Arial Narrow" w:hAnsi="Arial Narrow" w:cs="Arial"/>
        </w:rPr>
      </w:pPr>
      <w:r w:rsidRPr="00B01518">
        <w:rPr>
          <w:rFonts w:ascii="Arial Narrow" w:hAnsi="Arial Narrow" w:cs="Arial"/>
        </w:rPr>
        <w:t>Dónde:</w:t>
      </w:r>
    </w:p>
    <w:p w:rsidR="001A16C0" w:rsidRPr="008E4291" w:rsidRDefault="006B30B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Global</w:t>
      </w:r>
    </w:p>
    <w:p w:rsidR="001A16C0" w:rsidRDefault="006B30B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rsidR="001A16C0" w:rsidRPr="00E266B2"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 xml:space="preserve">arámetros </w:t>
      </w:r>
      <w:r w:rsidR="003C1AEE">
        <w:rPr>
          <w:rFonts w:ascii="Arial Narrow" w:hAnsi="Arial Narrow" w:cs="Arial"/>
          <w:i/>
          <w:iCs/>
        </w:rPr>
        <w:t>V</w:t>
      </w:r>
      <w:r>
        <w:rPr>
          <w:rFonts w:ascii="Arial Narrow" w:hAnsi="Arial Narrow" w:cs="Arial"/>
          <w:i/>
          <w:iCs/>
        </w:rPr>
        <w:t>erificados</w:t>
      </w:r>
    </w:p>
    <w:p w:rsidR="00273686" w:rsidRDefault="00273686"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AA601F" w:rsidRDefault="00AA601F" w:rsidP="001A16C0">
      <w:pPr>
        <w:spacing w:before="240" w:after="240" w:line="360" w:lineRule="auto"/>
        <w:jc w:val="center"/>
        <w:rPr>
          <w:rFonts w:cstheme="minorHAnsi"/>
          <w:b/>
          <w:color w:val="215868"/>
        </w:rPr>
      </w:pPr>
    </w:p>
    <w:p w:rsidR="00215DFF" w:rsidRDefault="00215DFF" w:rsidP="001A16C0">
      <w:pPr>
        <w:spacing w:before="240" w:after="240" w:line="360" w:lineRule="auto"/>
        <w:jc w:val="center"/>
        <w:rPr>
          <w:rFonts w:cstheme="minorHAnsi"/>
          <w:b/>
          <w:color w:val="215868"/>
        </w:rPr>
      </w:pPr>
    </w:p>
    <w:p w:rsidR="001A16C0" w:rsidRPr="00D257BA" w:rsidRDefault="001A16C0" w:rsidP="001A16C0">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PORTAL DE INTERNET</w:t>
      </w:r>
    </w:p>
    <w:p w:rsidR="001A16C0" w:rsidRPr="00D257BA" w:rsidRDefault="001A16C0" w:rsidP="001A16C0">
      <w:pPr>
        <w:spacing w:before="240" w:after="240" w:line="360" w:lineRule="auto"/>
        <w:jc w:val="both"/>
        <w:rPr>
          <w:rFonts w:cstheme="minorHAnsi"/>
          <w:b/>
          <w:color w:val="215868"/>
        </w:rPr>
      </w:pPr>
      <w:r w:rsidRPr="00D257BA">
        <w:rPr>
          <w:rFonts w:cstheme="minorHAnsi"/>
          <w:b/>
          <w:noProof/>
          <w:color w:val="215868"/>
          <w:lang w:eastAsia="es-MX"/>
        </w:rPr>
        <w:drawing>
          <wp:inline distT="0" distB="0" distL="0" distR="0" wp14:anchorId="7C799EF8" wp14:editId="60D485CE">
            <wp:extent cx="5486400" cy="3200400"/>
            <wp:effectExtent l="12700" t="0" r="1270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6DBD" w:rsidRDefault="00616DBD" w:rsidP="001A16C0">
      <w:pPr>
        <w:jc w:val="center"/>
        <w:rPr>
          <w:rFonts w:cstheme="minorHAnsi"/>
          <w:b/>
          <w:color w:val="215868" w:themeColor="accent5" w:themeShade="80"/>
          <w:lang w:val="es-ES"/>
        </w:rPr>
      </w:pPr>
    </w:p>
    <w:p w:rsidR="001A16C0" w:rsidRPr="00D257BA" w:rsidRDefault="001A16C0" w:rsidP="001A16C0">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sidR="003C1AEE">
        <w:rPr>
          <w:rFonts w:cstheme="minorHAnsi"/>
          <w:b/>
          <w:color w:val="215868" w:themeColor="accent5" w:themeShade="80"/>
          <w:lang w:val="es-ES"/>
        </w:rPr>
        <w:t>CRITERIOS</w:t>
      </w:r>
      <w:r w:rsidRPr="00D257BA">
        <w:rPr>
          <w:rFonts w:cstheme="minorHAnsi"/>
          <w:b/>
          <w:color w:val="215868" w:themeColor="accent5" w:themeShade="80"/>
          <w:lang w:val="es-ES"/>
        </w:rPr>
        <w:t xml:space="preserve"> ADJETIVOS</w:t>
      </w:r>
    </w:p>
    <w:p w:rsidR="001A16C0" w:rsidRPr="00D257BA" w:rsidRDefault="001A16C0" w:rsidP="001A16C0">
      <w:pPr>
        <w:jc w:val="both"/>
        <w:rPr>
          <w:rFonts w:cstheme="minorHAnsi"/>
        </w:rPr>
      </w:pPr>
      <w:r w:rsidRPr="00D257BA">
        <w:rPr>
          <w:rFonts w:cstheme="minorHAnsi"/>
        </w:rPr>
        <w:t xml:space="preserve">Los criterios adjetivos para </w:t>
      </w:r>
      <w:r>
        <w:rPr>
          <w:rFonts w:cstheme="minorHAnsi"/>
        </w:rPr>
        <w:t>verifica</w:t>
      </w:r>
      <w:r w:rsidRPr="00D257BA">
        <w:rPr>
          <w:rFonts w:cstheme="minorHAnsi"/>
        </w:rPr>
        <w:t xml:space="preserve">r el cumplimiento de la publicación </w:t>
      </w:r>
      <w:r w:rsidR="00886071">
        <w:rPr>
          <w:rFonts w:cstheme="minorHAnsi"/>
        </w:rPr>
        <w:t xml:space="preserve">y actualización </w:t>
      </w:r>
      <w:r w:rsidRPr="00D257BA">
        <w:rPr>
          <w:rFonts w:cstheme="minorHAnsi"/>
        </w:rPr>
        <w:t>de la información fundamental, se encuentran contemplados en la Ley de Transparencia, toda vez que el artículo 3</w:t>
      </w:r>
      <w:r w:rsidR="003C1AEE">
        <w:rPr>
          <w:rFonts w:cstheme="minorHAnsi"/>
        </w:rPr>
        <w:t>°</w:t>
      </w:r>
      <w:r w:rsidRPr="00D257BA">
        <w:rPr>
          <w:rFonts w:cstheme="minorHAnsi"/>
        </w:rPr>
        <w:t>, p</w:t>
      </w:r>
      <w:r w:rsidR="003C1AEE">
        <w:rPr>
          <w:rFonts w:cstheme="minorHAnsi"/>
        </w:rPr>
        <w:t>árrafo</w:t>
      </w:r>
      <w:r w:rsidRPr="00D257BA">
        <w:rPr>
          <w:rFonts w:cstheme="minorHAnsi"/>
        </w:rPr>
        <w:t xml:space="preserve">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rsidR="001A16C0" w:rsidRPr="00D257BA" w:rsidRDefault="001A16C0" w:rsidP="001A16C0">
      <w:pPr>
        <w:jc w:val="both"/>
        <w:rPr>
          <w:rFonts w:cstheme="minorHAnsi"/>
        </w:rPr>
      </w:pPr>
      <w:r w:rsidRPr="00D257BA">
        <w:rPr>
          <w:rFonts w:cstheme="minorHAnsi"/>
        </w:rPr>
        <w:t>Por otra parte</w:t>
      </w:r>
      <w:r w:rsidR="003C1AEE">
        <w:rPr>
          <w:rFonts w:cstheme="minorHAnsi"/>
        </w:rPr>
        <w:t>,</w:t>
      </w:r>
      <w:r w:rsidRPr="00D257BA">
        <w:rPr>
          <w:rFonts w:cstheme="minorHAnsi"/>
        </w:rPr>
        <w:t xml:space="preserve"> el </w:t>
      </w:r>
      <w:r w:rsidR="008B658C">
        <w:rPr>
          <w:rFonts w:cstheme="minorHAnsi"/>
        </w:rPr>
        <w:t xml:space="preserve">arábigo </w:t>
      </w:r>
      <w:r w:rsidRPr="00D257BA">
        <w:rPr>
          <w:rFonts w:cstheme="minorHAnsi"/>
        </w:rPr>
        <w:t>8</w:t>
      </w:r>
      <w:r w:rsidR="003C1AEE">
        <w:rPr>
          <w:rFonts w:cstheme="minorHAnsi"/>
        </w:rPr>
        <w:t>°</w:t>
      </w:r>
      <w:r w:rsidRPr="00D257BA">
        <w:rPr>
          <w:rFonts w:cstheme="minorHAnsi"/>
        </w:rPr>
        <w:t>, párrafo 2, de la Ley de Transparencia, establece que la publicación de información fundamental tiene que realizarse con independencia de su public</w:t>
      </w:r>
      <w:r w:rsidR="00886071">
        <w:rPr>
          <w:rFonts w:cstheme="minorHAnsi"/>
        </w:rPr>
        <w:t>idad</w:t>
      </w:r>
      <w:r w:rsidRPr="00D257BA">
        <w:rPr>
          <w:rFonts w:cstheme="minorHAnsi"/>
        </w:rPr>
        <w:t xml:space="preserve"> oficial y debe reunir los requisitos de claridad, calidad, certeza, veracidad, oportunidad y confiabilidad.</w:t>
      </w:r>
    </w:p>
    <w:p w:rsidR="001A16C0" w:rsidRPr="00D257BA" w:rsidRDefault="00025A0C" w:rsidP="001A16C0">
      <w:pPr>
        <w:jc w:val="both"/>
        <w:rPr>
          <w:rFonts w:cstheme="minorHAnsi"/>
        </w:rPr>
      </w:pPr>
      <w:r>
        <w:rPr>
          <w:rFonts w:cstheme="minorHAnsi"/>
        </w:rPr>
        <w:t>Asimismo, el</w:t>
      </w:r>
      <w:r w:rsidR="008B658C">
        <w:rPr>
          <w:rFonts w:cstheme="minorHAnsi"/>
        </w:rPr>
        <w:t xml:space="preserve"> numeral</w:t>
      </w:r>
      <w:r w:rsidR="001A16C0" w:rsidRPr="00D257BA">
        <w:rPr>
          <w:rFonts w:cstheme="minorHAnsi"/>
        </w:rPr>
        <w:t xml:space="preserve"> 25, p</w:t>
      </w:r>
      <w:r w:rsidR="003C1AEE">
        <w:rPr>
          <w:rFonts w:cstheme="minorHAnsi"/>
        </w:rPr>
        <w:t>árrafo</w:t>
      </w:r>
      <w:r w:rsidR="001A16C0" w:rsidRPr="00D257BA">
        <w:rPr>
          <w:rFonts w:cstheme="minorHAnsi"/>
        </w:rPr>
        <w:t xml:space="preserve"> 1, fracción VI, de la Ley de Transparencia, constriñe a los sujetos obligados a publicar permanentemente en internet o en otros medios de fácil acceso y comprensión para la población, así como actualizar al menos una vez al mes, la información fundamental que le corresponda.</w:t>
      </w:r>
    </w:p>
    <w:p w:rsidR="001A16C0" w:rsidRDefault="001A16C0" w:rsidP="001A16C0">
      <w:pPr>
        <w:jc w:val="both"/>
        <w:rPr>
          <w:rFonts w:cstheme="minorHAnsi"/>
        </w:rPr>
      </w:pPr>
      <w:r w:rsidRPr="00D257BA">
        <w:rPr>
          <w:rFonts w:cstheme="minorHAnsi"/>
        </w:rPr>
        <w:t xml:space="preserve">De igual forma, </w:t>
      </w:r>
      <w:r w:rsidRPr="007C2E01">
        <w:rPr>
          <w:rFonts w:cstheme="minorHAnsi"/>
        </w:rPr>
        <w:t>el artículo 119, p</w:t>
      </w:r>
      <w:r w:rsidR="003C1AEE" w:rsidRPr="007C2E01">
        <w:rPr>
          <w:rFonts w:cstheme="minorHAnsi"/>
        </w:rPr>
        <w:t>árrafo</w:t>
      </w:r>
      <w:r w:rsidR="00025A0C">
        <w:rPr>
          <w:rFonts w:cstheme="minorHAnsi"/>
        </w:rPr>
        <w:t xml:space="preserve"> 1, fracciones II, III, IV,</w:t>
      </w:r>
      <w:r w:rsidRPr="007C2E01">
        <w:rPr>
          <w:rFonts w:cstheme="minorHAnsi"/>
        </w:rPr>
        <w:t xml:space="preserve"> VIII</w:t>
      </w:r>
      <w:r w:rsidR="00025A0C">
        <w:rPr>
          <w:rFonts w:cstheme="minorHAnsi"/>
        </w:rPr>
        <w:t xml:space="preserve"> y XIV</w:t>
      </w:r>
      <w:r w:rsidRPr="007C2E01">
        <w:rPr>
          <w:rFonts w:cstheme="minorHAnsi"/>
        </w:rPr>
        <w:t xml:space="preserve">; así </w:t>
      </w:r>
      <w:r w:rsidR="00F732E8" w:rsidRPr="007C2E01">
        <w:rPr>
          <w:rFonts w:cstheme="minorHAnsi"/>
        </w:rPr>
        <w:t xml:space="preserve">como el artículo 123, </w:t>
      </w:r>
      <w:r w:rsidR="00025A0C">
        <w:rPr>
          <w:rFonts w:cstheme="minorHAnsi"/>
        </w:rPr>
        <w:t xml:space="preserve">párrafo 1, </w:t>
      </w:r>
      <w:r w:rsidR="00F732E8" w:rsidRPr="007C2E01">
        <w:rPr>
          <w:rFonts w:cstheme="minorHAnsi"/>
        </w:rPr>
        <w:t xml:space="preserve">fracción </w:t>
      </w:r>
      <w:r w:rsidRPr="007C2E01">
        <w:rPr>
          <w:rFonts w:cstheme="minorHAnsi"/>
        </w:rPr>
        <w:t>I, inciso a)</w:t>
      </w:r>
      <w:r w:rsidR="00025A0C">
        <w:rPr>
          <w:rFonts w:cstheme="minorHAnsi"/>
        </w:rPr>
        <w:t>;</w:t>
      </w:r>
      <w:r w:rsidRPr="007C2E01">
        <w:rPr>
          <w:rFonts w:cstheme="minorHAnsi"/>
        </w:rPr>
        <w:t xml:space="preserve"> fracción II, inciso a)</w:t>
      </w:r>
      <w:r w:rsidR="00025A0C">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sidR="00025A0C">
        <w:rPr>
          <w:rFonts w:cstheme="minorHAnsi"/>
        </w:rPr>
        <w:t xml:space="preserve">y actualización </w:t>
      </w:r>
      <w:r w:rsidRPr="00D257BA">
        <w:rPr>
          <w:rFonts w:cstheme="minorHAnsi"/>
        </w:rPr>
        <w:t xml:space="preserve">de </w:t>
      </w:r>
      <w:r w:rsidR="00025A0C">
        <w:rPr>
          <w:rFonts w:cstheme="minorHAnsi"/>
        </w:rPr>
        <w:t xml:space="preserve">la </w:t>
      </w:r>
      <w:r w:rsidRPr="00D257BA">
        <w:rPr>
          <w:rFonts w:cstheme="minorHAnsi"/>
        </w:rPr>
        <w:t xml:space="preserve">información fundamental, respectivamente. </w:t>
      </w:r>
    </w:p>
    <w:p w:rsidR="00537678" w:rsidRDefault="00537678" w:rsidP="001A16C0">
      <w:pPr>
        <w:jc w:val="both"/>
        <w:rPr>
          <w:rFonts w:cstheme="minorHAnsi"/>
        </w:rPr>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realice </w:t>
      </w:r>
      <w:r w:rsidRPr="00537678">
        <w:rPr>
          <w:rFonts w:cstheme="minorHAnsi"/>
        </w:rPr>
        <w:lastRenderedPageBreak/>
        <w:t>las acciones que conforme a derecho determine,  de conformidad con el artículo, 124, párrafo 1, de la Ley de Transparencia</w:t>
      </w:r>
      <w:r>
        <w:rPr>
          <w:rFonts w:cstheme="minorHAnsi"/>
        </w:rPr>
        <w:t>.</w:t>
      </w:r>
    </w:p>
    <w:p w:rsidR="001A16C0" w:rsidRDefault="001A16C0" w:rsidP="001A16C0">
      <w:pPr>
        <w:jc w:val="both"/>
        <w:rPr>
          <w:rFonts w:cstheme="minorHAnsi"/>
        </w:rPr>
      </w:pPr>
      <w:r w:rsidRPr="00D257BA">
        <w:rPr>
          <w:rFonts w:cstheme="minorHAnsi"/>
        </w:rPr>
        <w:t xml:space="preserve">Por las razones antes expuestas, se concluyen las características que deberá reunir la información pública fundamental, y que serán los </w:t>
      </w:r>
      <w:r w:rsidR="003C1AEE">
        <w:rPr>
          <w:rFonts w:cstheme="minorHAnsi"/>
        </w:rPr>
        <w:t xml:space="preserve">criterios </w:t>
      </w:r>
      <w:r w:rsidRPr="00D257BA">
        <w:rPr>
          <w:rFonts w:cstheme="minorHAnsi"/>
        </w:rPr>
        <w:t xml:space="preserve">adjetivos a </w:t>
      </w:r>
      <w:r>
        <w:rPr>
          <w:rFonts w:cstheme="minorHAnsi"/>
        </w:rPr>
        <w:t>verificar</w:t>
      </w:r>
      <w:r w:rsidRPr="00D257BA">
        <w:rPr>
          <w:rFonts w:cstheme="minorHAnsi"/>
        </w:rPr>
        <w:t>:</w:t>
      </w:r>
    </w:p>
    <w:p w:rsidR="00616DBD" w:rsidRPr="00D257BA" w:rsidRDefault="00616DBD" w:rsidP="001A16C0">
      <w:pPr>
        <w:jc w:val="both"/>
        <w:rPr>
          <w:rFonts w:cstheme="minorHAnsi"/>
        </w:rPr>
      </w:pPr>
    </w:p>
    <w:p w:rsidR="001A16C0" w:rsidRPr="00D257BA" w:rsidRDefault="001A16C0" w:rsidP="001A16C0">
      <w:pPr>
        <w:jc w:val="center"/>
        <w:rPr>
          <w:rFonts w:cstheme="minorHAnsi"/>
        </w:rPr>
      </w:pPr>
      <w:r w:rsidRPr="00D257BA">
        <w:rPr>
          <w:rFonts w:cstheme="minorHAnsi"/>
          <w:noProof/>
          <w:lang w:eastAsia="es-MX"/>
        </w:rPr>
        <w:drawing>
          <wp:inline distT="0" distB="0" distL="0" distR="0" wp14:anchorId="0427A574" wp14:editId="0002FD08">
            <wp:extent cx="4023360" cy="263969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23360" cy="2639695"/>
                    </a:xfrm>
                    <a:prstGeom prst="rect">
                      <a:avLst/>
                    </a:prstGeom>
                    <a:noFill/>
                    <a:ln w="9525">
                      <a:noFill/>
                      <a:miter lim="800000"/>
                      <a:headEnd/>
                      <a:tailEnd/>
                    </a:ln>
                  </pic:spPr>
                </pic:pic>
              </a:graphicData>
            </a:graphic>
          </wp:inline>
        </w:drawing>
      </w:r>
    </w:p>
    <w:p w:rsidR="00616DBD" w:rsidRDefault="00616DBD" w:rsidP="001A16C0">
      <w:pPr>
        <w:jc w:val="both"/>
        <w:rPr>
          <w:rFonts w:cstheme="minorHAnsi"/>
        </w:rPr>
      </w:pPr>
    </w:p>
    <w:p w:rsidR="001A16C0" w:rsidRPr="00D257BA" w:rsidRDefault="001A16C0" w:rsidP="001A16C0">
      <w:pPr>
        <w:jc w:val="both"/>
        <w:rPr>
          <w:rFonts w:cstheme="minorHAnsi"/>
        </w:rPr>
      </w:pPr>
      <w:r w:rsidRPr="00D257BA">
        <w:rPr>
          <w:rFonts w:cstheme="minorHAnsi"/>
        </w:rPr>
        <w:t xml:space="preserve">Ahora bien, la </w:t>
      </w:r>
      <w:r>
        <w:rPr>
          <w:rFonts w:cstheme="minorHAnsi"/>
        </w:rPr>
        <w:t>verificación</w:t>
      </w:r>
      <w:r w:rsidRPr="00D257BA">
        <w:rPr>
          <w:rFonts w:cstheme="minorHAnsi"/>
        </w:rPr>
        <w:t xml:space="preserve"> de los </w:t>
      </w:r>
      <w:r w:rsidR="003C1AEE">
        <w:rPr>
          <w:rFonts w:cstheme="minorHAnsi"/>
        </w:rPr>
        <w:t xml:space="preserve">criterios </w:t>
      </w:r>
      <w:r w:rsidRPr="00D257BA">
        <w:rPr>
          <w:rFonts w:cstheme="minorHAnsi"/>
        </w:rPr>
        <w:t>adjetivos antes mencionados se llevará a cabo respondiendo las siguientes interrogantes:</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1. </w:t>
      </w:r>
      <w:r w:rsidRPr="00D257BA">
        <w:rPr>
          <w:rFonts w:eastAsia="Calibri" w:cstheme="minorHAnsi"/>
          <w:b/>
          <w:bCs/>
          <w:i/>
          <w:iCs/>
          <w:color w:val="215868"/>
        </w:rPr>
        <w:t>Publicidad:</w:t>
      </w:r>
      <w:r w:rsidRPr="00D257BA">
        <w:rPr>
          <w:rFonts w:eastAsia="Calibri" w:cstheme="minorHAnsi"/>
        </w:rPr>
        <w:t xml:space="preserve"> ¿</w:t>
      </w:r>
      <w:r w:rsidRPr="00D257BA">
        <w:rPr>
          <w:rFonts w:eastAsia="Calibri" w:cstheme="minorHAnsi"/>
          <w:i/>
        </w:rPr>
        <w:t xml:space="preserve">Se publica información relacionada con el artículo, fracción o inciso de que se trate?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2. </w:t>
      </w:r>
      <w:r w:rsidRPr="00D257BA">
        <w:rPr>
          <w:rFonts w:eastAsia="Calibri" w:cstheme="minorHAnsi"/>
          <w:b/>
          <w:bCs/>
          <w:i/>
          <w:iCs/>
          <w:color w:val="215868"/>
        </w:rPr>
        <w:t>Vigencia:</w:t>
      </w:r>
      <w:r w:rsidRPr="00D257BA">
        <w:rPr>
          <w:rFonts w:eastAsia="Calibri" w:cstheme="minorHAnsi"/>
        </w:rPr>
        <w:t xml:space="preserve"> </w:t>
      </w:r>
      <w:r w:rsidRPr="00D257BA">
        <w:rPr>
          <w:rFonts w:eastAsia="Calibri" w:cstheme="minorHAnsi"/>
          <w:i/>
        </w:rPr>
        <w:t>¿La información está vigente/actualizada de acuerdo a los plazos que se establecen en los Lineamientos Generales para la Publicación y Actualización de la Información Fundamental?</w:t>
      </w:r>
    </w:p>
    <w:p w:rsidR="001A16C0" w:rsidRPr="00D257BA" w:rsidRDefault="001A16C0" w:rsidP="001A16C0">
      <w:pPr>
        <w:jc w:val="both"/>
        <w:rPr>
          <w:rFonts w:eastAsia="Calibri" w:cstheme="minorHAnsi"/>
        </w:rPr>
      </w:pPr>
      <w:r w:rsidRPr="00D257BA">
        <w:rPr>
          <w:rFonts w:cstheme="minorHAnsi"/>
          <w:b/>
          <w:bCs/>
          <w:i/>
          <w:iCs/>
          <w:color w:val="215868" w:themeColor="accent5" w:themeShade="80"/>
        </w:rPr>
        <w:t xml:space="preserve">3. </w:t>
      </w:r>
      <w:r w:rsidRPr="00D257BA">
        <w:rPr>
          <w:rFonts w:eastAsia="Calibri" w:cstheme="minorHAnsi"/>
          <w:b/>
          <w:bCs/>
          <w:i/>
          <w:iCs/>
          <w:color w:val="215868"/>
        </w:rPr>
        <w:t>Accesibilidad:</w:t>
      </w:r>
      <w:r w:rsidRPr="00D257BA">
        <w:rPr>
          <w:rFonts w:cstheme="minorHAnsi"/>
          <w:b/>
          <w:bCs/>
          <w:i/>
          <w:iCs/>
        </w:rPr>
        <w:t xml:space="preserve"> </w:t>
      </w:r>
      <w:r w:rsidRPr="00D257BA">
        <w:rPr>
          <w:rFonts w:eastAsia="Calibri" w:cstheme="minorHAnsi"/>
        </w:rPr>
        <w:t xml:space="preserve">¿La información es accesible o de fácil localización dentro del </w:t>
      </w:r>
      <w:r w:rsidR="003C1AEE">
        <w:rPr>
          <w:rFonts w:eastAsia="Calibri" w:cstheme="minorHAnsi"/>
        </w:rPr>
        <w:t>p</w:t>
      </w:r>
      <w:r>
        <w:rPr>
          <w:rFonts w:eastAsia="Calibri" w:cstheme="minorHAnsi"/>
        </w:rPr>
        <w:t>ortal de</w:t>
      </w:r>
      <w:r w:rsidRPr="00D257BA">
        <w:rPr>
          <w:rFonts w:eastAsia="Calibri" w:cstheme="minorHAnsi"/>
        </w:rPr>
        <w:t xml:space="preserve"> </w:t>
      </w:r>
      <w:r>
        <w:rPr>
          <w:rFonts w:eastAsia="Calibri" w:cstheme="minorHAnsi"/>
        </w:rPr>
        <w:t>Internet</w:t>
      </w:r>
      <w:r w:rsidRPr="00D257BA">
        <w:rPr>
          <w:rFonts w:eastAsia="Calibri" w:cstheme="minorHAnsi"/>
        </w:rPr>
        <w:t xml:space="preserve">? </w:t>
      </w:r>
    </w:p>
    <w:p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4. </w:t>
      </w:r>
      <w:r w:rsidRPr="00D257BA">
        <w:rPr>
          <w:rFonts w:eastAsia="Calibri" w:cstheme="minorHAnsi"/>
          <w:b/>
          <w:bCs/>
          <w:i/>
          <w:iCs/>
          <w:color w:val="215868"/>
        </w:rPr>
        <w:t>Información Completa:</w:t>
      </w:r>
      <w:r w:rsidRPr="00D257BA">
        <w:rPr>
          <w:rFonts w:cstheme="minorHAnsi"/>
          <w:b/>
          <w:bCs/>
          <w:i/>
          <w:iCs/>
        </w:rPr>
        <w:t xml:space="preserve"> </w:t>
      </w:r>
      <w:r w:rsidRPr="00D257BA">
        <w:rPr>
          <w:rFonts w:eastAsia="Calibri" w:cstheme="minorHAnsi"/>
          <w:i/>
        </w:rPr>
        <w:t>¿La información publicada cumple con todas las características o aspectos establecidos en la Ley</w:t>
      </w:r>
      <w:r w:rsidR="007C6474">
        <w:rPr>
          <w:rFonts w:eastAsia="Calibri" w:cstheme="minorHAnsi"/>
          <w:i/>
        </w:rPr>
        <w:t xml:space="preserve"> de Transparencia</w:t>
      </w:r>
      <w:r w:rsidRPr="00D257BA">
        <w:rPr>
          <w:rFonts w:eastAsia="Calibri" w:cstheme="minorHAnsi"/>
          <w:i/>
        </w:rPr>
        <w:t xml:space="preserve"> y los Lineamientos Generales para la Publicación y Actualización de la Información Fundamental? </w:t>
      </w:r>
    </w:p>
    <w:p w:rsidR="001A16C0" w:rsidRPr="00D257BA" w:rsidRDefault="001A16C0" w:rsidP="001A16C0">
      <w:pPr>
        <w:jc w:val="both"/>
        <w:rPr>
          <w:rFonts w:eastAsia="Calibri" w:cstheme="minorHAnsi"/>
        </w:rPr>
      </w:pPr>
      <w:r w:rsidRPr="00D257BA">
        <w:rPr>
          <w:rFonts w:eastAsia="Calibri" w:cstheme="minorHAnsi"/>
        </w:rPr>
        <w:t>Los valores que se utilizarán para</w:t>
      </w:r>
      <w:r>
        <w:rPr>
          <w:rFonts w:eastAsia="Calibri" w:cstheme="minorHAnsi"/>
        </w:rPr>
        <w:t xml:space="preserve"> verificar</w:t>
      </w:r>
      <w:r w:rsidRPr="00D257BA">
        <w:rPr>
          <w:rFonts w:eastAsia="Calibri" w:cstheme="minorHAnsi"/>
        </w:rPr>
        <w:t xml:space="preserve"> el cumplimiento de los criterios adjetivos son: </w:t>
      </w:r>
    </w:p>
    <w:p w:rsidR="001A16C0" w:rsidRPr="00D257BA" w:rsidRDefault="001A16C0" w:rsidP="001A16C0">
      <w:pPr>
        <w:numPr>
          <w:ilvl w:val="0"/>
          <w:numId w:val="5"/>
        </w:numPr>
        <w:jc w:val="both"/>
        <w:rPr>
          <w:rFonts w:eastAsia="Calibri" w:cstheme="minorHAnsi"/>
          <w:i/>
        </w:rPr>
      </w:pPr>
      <w:r w:rsidRPr="00D257BA">
        <w:rPr>
          <w:rFonts w:eastAsia="Calibri" w:cstheme="minorHAnsi"/>
        </w:rPr>
        <w:t>‘0’ cuando NO</w:t>
      </w:r>
      <w:r w:rsidR="008B658C" w:rsidRPr="00D257BA">
        <w:rPr>
          <w:rFonts w:eastAsia="Calibri" w:cstheme="minorHAnsi"/>
        </w:rPr>
        <w:t xml:space="preserve"> SE CUMPLA </w:t>
      </w:r>
      <w:r w:rsidRPr="00D257BA">
        <w:rPr>
          <w:rFonts w:eastAsia="Calibri" w:cstheme="minorHAnsi"/>
        </w:rPr>
        <w:t>con el criterio</w:t>
      </w:r>
    </w:p>
    <w:p w:rsidR="001A16C0" w:rsidRPr="009A1481" w:rsidRDefault="001A16C0" w:rsidP="001A16C0">
      <w:pPr>
        <w:numPr>
          <w:ilvl w:val="0"/>
          <w:numId w:val="5"/>
        </w:numPr>
        <w:jc w:val="both"/>
        <w:rPr>
          <w:rFonts w:eastAsia="Calibri" w:cstheme="minorHAnsi"/>
          <w:i/>
        </w:rPr>
      </w:pPr>
      <w:r>
        <w:rPr>
          <w:rFonts w:eastAsia="Calibri" w:cstheme="minorHAnsi"/>
        </w:rPr>
        <w:t xml:space="preserve"> ‘0.5’ cuando </w:t>
      </w:r>
      <w:r w:rsidR="008B658C">
        <w:rPr>
          <w:rFonts w:eastAsia="Calibri" w:cstheme="minorHAnsi"/>
        </w:rPr>
        <w:t xml:space="preserve">CUMPLA </w:t>
      </w:r>
      <w:r>
        <w:rPr>
          <w:rFonts w:eastAsia="Calibri" w:cstheme="minorHAnsi"/>
        </w:rPr>
        <w:t>PARCIALMENTE</w:t>
      </w:r>
    </w:p>
    <w:p w:rsidR="001A16C0" w:rsidRPr="009A1481" w:rsidRDefault="001A16C0" w:rsidP="001A16C0">
      <w:pPr>
        <w:numPr>
          <w:ilvl w:val="0"/>
          <w:numId w:val="5"/>
        </w:numPr>
        <w:jc w:val="both"/>
        <w:rPr>
          <w:rFonts w:eastAsia="Calibri" w:cstheme="minorHAnsi"/>
          <w:i/>
        </w:rPr>
      </w:pPr>
      <w:r w:rsidRPr="00D257BA">
        <w:rPr>
          <w:rFonts w:eastAsia="Calibri" w:cstheme="minorHAnsi"/>
        </w:rPr>
        <w:t xml:space="preserve">‘1’ cuando SÍ </w:t>
      </w:r>
      <w:r w:rsidR="008B658C" w:rsidRPr="00D257BA">
        <w:rPr>
          <w:rFonts w:eastAsia="Calibri" w:cstheme="minorHAnsi"/>
        </w:rPr>
        <w:t>SE CUMPLA</w:t>
      </w:r>
    </w:p>
    <w:p w:rsidR="00F732E8" w:rsidRDefault="00F732E8" w:rsidP="001A16C0">
      <w:pPr>
        <w:jc w:val="center"/>
        <w:rPr>
          <w:rFonts w:cstheme="minorHAnsi"/>
          <w:b/>
          <w:color w:val="215868" w:themeColor="accent5" w:themeShade="80"/>
        </w:rPr>
      </w:pPr>
    </w:p>
    <w:p w:rsidR="00616DBD" w:rsidRDefault="00616DBD" w:rsidP="001A16C0">
      <w:pPr>
        <w:jc w:val="center"/>
        <w:rPr>
          <w:rFonts w:cstheme="minorHAnsi"/>
          <w:b/>
          <w:color w:val="215868" w:themeColor="accent5" w:themeShade="80"/>
        </w:rPr>
      </w:pPr>
    </w:p>
    <w:p w:rsidR="001A16C0" w:rsidRPr="00D257BA" w:rsidRDefault="001A16C0" w:rsidP="001A16C0">
      <w:pPr>
        <w:jc w:val="center"/>
        <w:rPr>
          <w:rFonts w:cstheme="minorHAnsi"/>
          <w:b/>
          <w:color w:val="215868" w:themeColor="accent5" w:themeShade="80"/>
        </w:rPr>
      </w:pPr>
      <w:r w:rsidRPr="00D257BA">
        <w:rPr>
          <w:rFonts w:cstheme="minorHAnsi"/>
          <w:b/>
          <w:color w:val="215868" w:themeColor="accent5" w:themeShade="80"/>
        </w:rPr>
        <w:lastRenderedPageBreak/>
        <w:t xml:space="preserve">DESCRIPCIÓN DE LOS </w:t>
      </w:r>
      <w:r w:rsidR="007C6474">
        <w:rPr>
          <w:rFonts w:cstheme="minorHAnsi"/>
          <w:b/>
          <w:color w:val="215868" w:themeColor="accent5" w:themeShade="80"/>
        </w:rPr>
        <w:t xml:space="preserve">CRITERIOS </w:t>
      </w:r>
      <w:r w:rsidRPr="00D257BA">
        <w:rPr>
          <w:rFonts w:cstheme="minorHAnsi"/>
          <w:b/>
          <w:color w:val="215868" w:themeColor="accent5" w:themeShade="80"/>
        </w:rPr>
        <w:t>SUSTANTIVOS</w:t>
      </w:r>
    </w:p>
    <w:p w:rsidR="001A16C0" w:rsidRPr="00D257BA" w:rsidRDefault="001A16C0" w:rsidP="00AA601F">
      <w:pPr>
        <w:spacing w:before="120" w:after="120"/>
        <w:jc w:val="both"/>
        <w:rPr>
          <w:rFonts w:cstheme="minorHAnsi"/>
        </w:rPr>
      </w:pPr>
      <w:r w:rsidRPr="00D257BA">
        <w:rPr>
          <w:rFonts w:cstheme="minorHAnsi"/>
        </w:rPr>
        <w:t xml:space="preserve">Los </w:t>
      </w:r>
      <w:r w:rsidR="007C6474">
        <w:rPr>
          <w:rFonts w:cstheme="minorHAnsi"/>
        </w:rPr>
        <w:t xml:space="preserve">criterios </w:t>
      </w:r>
      <w:r w:rsidRPr="00D257BA">
        <w:rPr>
          <w:rFonts w:cstheme="minorHAnsi"/>
        </w:rPr>
        <w:t xml:space="preserve">sustantivos se relacionan con las obligaciones de publicación </w:t>
      </w:r>
      <w:r w:rsidR="002009B2">
        <w:rPr>
          <w:rFonts w:cstheme="minorHAnsi"/>
        </w:rPr>
        <w:t xml:space="preserve">y actualización </w:t>
      </w:r>
      <w:r w:rsidRPr="00D257BA">
        <w:rPr>
          <w:rFonts w:cstheme="minorHAnsi"/>
        </w:rPr>
        <w:t xml:space="preserve">de información fundamental </w:t>
      </w:r>
      <w:r w:rsidRPr="00D257BA">
        <w:rPr>
          <w:rFonts w:cstheme="minorHAnsi"/>
          <w:bCs/>
          <w:lang w:val="es-ES"/>
        </w:rPr>
        <w:t>señalados en la Ley de</w:t>
      </w:r>
      <w:r w:rsidR="002009B2">
        <w:rPr>
          <w:rFonts w:cstheme="minorHAnsi"/>
          <w:bCs/>
          <w:lang w:val="es-ES"/>
        </w:rPr>
        <w:t xml:space="preserve"> Transparencia</w:t>
      </w:r>
      <w:r w:rsidRPr="00D257BA">
        <w:rPr>
          <w:rFonts w:cstheme="minorHAnsi"/>
        </w:rPr>
        <w:t>, todas las fracciones e incisos del artículo 8</w:t>
      </w:r>
      <w:r w:rsidR="0035707C">
        <w:rPr>
          <w:rFonts w:cstheme="minorHAnsi"/>
        </w:rPr>
        <w:t>°</w:t>
      </w:r>
      <w:r w:rsidRPr="00D257BA">
        <w:rPr>
          <w:rFonts w:cstheme="minorHAnsi"/>
        </w:rPr>
        <w:t xml:space="preserve">, de la </w:t>
      </w:r>
      <w:r w:rsidR="002009B2">
        <w:rPr>
          <w:rFonts w:cstheme="minorHAnsi"/>
        </w:rPr>
        <w:t xml:space="preserve">citada </w:t>
      </w:r>
      <w:r w:rsidR="002009B2">
        <w:rPr>
          <w:rFonts w:cstheme="minorHAnsi"/>
          <w:bCs/>
          <w:lang w:val="es-ES"/>
        </w:rPr>
        <w:t>Ley</w:t>
      </w:r>
      <w:r w:rsidRPr="00D257BA">
        <w:rPr>
          <w:rFonts w:cstheme="minorHAnsi"/>
          <w:bCs/>
          <w:lang w:val="es-ES"/>
        </w:rPr>
        <w:t>,</w:t>
      </w:r>
      <w:r w:rsidRPr="00D257BA">
        <w:rPr>
          <w:rFonts w:cstheme="minorHAnsi"/>
        </w:rPr>
        <w:t xml:space="preserve"> son aplicables a todos los sujetos obligados; y los </w:t>
      </w:r>
      <w:r w:rsidR="008B658C">
        <w:rPr>
          <w:rFonts w:cstheme="minorHAnsi"/>
        </w:rPr>
        <w:t xml:space="preserve">arábigos </w:t>
      </w:r>
      <w:r w:rsidRPr="00D257BA">
        <w:rPr>
          <w:rFonts w:cstheme="minorHAnsi"/>
        </w:rPr>
        <w:t>del 9</w:t>
      </w:r>
      <w:r w:rsidR="007C6474">
        <w:rPr>
          <w:rFonts w:cstheme="minorHAnsi"/>
        </w:rPr>
        <w:t>°</w:t>
      </w:r>
      <w:r w:rsidRPr="00D257BA">
        <w:rPr>
          <w:rFonts w:cstheme="minorHAnsi"/>
        </w:rPr>
        <w:t xml:space="preserve"> al 16-Quáter, son aplicables a cada sujeto obligado dependiendo la naturaleza de éstos o dada las atribuciones o funciones. </w:t>
      </w:r>
    </w:p>
    <w:p w:rsidR="001A16C0" w:rsidRDefault="001A16C0" w:rsidP="00AA601F">
      <w:pPr>
        <w:spacing w:before="120" w:after="120"/>
        <w:jc w:val="both"/>
        <w:rPr>
          <w:rFonts w:ascii="Arial Narrow" w:hAnsi="Arial Narrow" w:cs="Arial"/>
          <w:sz w:val="24"/>
          <w:szCs w:val="24"/>
        </w:rPr>
      </w:pPr>
      <w:r w:rsidRPr="00D257BA">
        <w:rPr>
          <w:rFonts w:cstheme="minorHAnsi"/>
        </w:rPr>
        <w:t>No obstante</w:t>
      </w:r>
      <w:r w:rsidR="0035707C">
        <w:rPr>
          <w:rFonts w:cstheme="minorHAnsi"/>
        </w:rPr>
        <w:t>,</w:t>
      </w:r>
      <w:r w:rsidRPr="00D257BA">
        <w:rPr>
          <w:rFonts w:cstheme="minorHAnsi"/>
        </w:rPr>
        <w:t xml:space="preserve"> lo anterior si una fracción o inciso relativos a la información fundamental no es aplicable, se deberá informar esta situación y otorgar las razones fundadas y motivadas de dicha situación. Asimismo, deberá especificar cuando en un periodo determinado no se genere la información relativa a cualquiera de las fracciones o incisos contenidos en los artículos del 8</w:t>
      </w:r>
      <w:r w:rsidR="007C6474">
        <w:rPr>
          <w:rFonts w:cstheme="minorHAnsi"/>
        </w:rPr>
        <w:t>°</w:t>
      </w:r>
      <w:r w:rsidRPr="00D257BA">
        <w:rPr>
          <w:rFonts w:cstheme="minorHAnsi"/>
        </w:rPr>
        <w:t xml:space="preserve"> al 16-Quáter de la Ley</w:t>
      </w:r>
      <w:r w:rsidR="00534651">
        <w:rPr>
          <w:rFonts w:cstheme="minorHAnsi"/>
        </w:rPr>
        <w:t xml:space="preserve"> de Transparencia</w:t>
      </w:r>
      <w:r w:rsidRPr="004500B7">
        <w:rPr>
          <w:rFonts w:ascii="Arial Narrow" w:hAnsi="Arial Narrow" w:cs="Arial"/>
          <w:sz w:val="24"/>
          <w:szCs w:val="24"/>
        </w:rPr>
        <w:t xml:space="preserve">. </w:t>
      </w:r>
    </w:p>
    <w:p w:rsidR="00040B69" w:rsidRDefault="00040B69" w:rsidP="00AA601F">
      <w:pPr>
        <w:spacing w:before="120" w:after="120"/>
        <w:jc w:val="both"/>
        <w:rPr>
          <w:rFonts w:ascii="Arial Narrow" w:hAnsi="Arial Narrow" w:cs="Arial"/>
          <w:sz w:val="24"/>
          <w:szCs w:val="24"/>
        </w:rPr>
      </w:pPr>
    </w:p>
    <w:p w:rsidR="001A16C0" w:rsidRPr="003A0F83" w:rsidRDefault="001A16C0" w:rsidP="001A16C0">
      <w:pPr>
        <w:jc w:val="center"/>
        <w:rPr>
          <w:b/>
          <w:color w:val="215868" w:themeColor="accent5" w:themeShade="80"/>
        </w:rPr>
      </w:pPr>
      <w:r w:rsidRPr="003A0F83">
        <w:rPr>
          <w:b/>
          <w:color w:val="215868" w:themeColor="accent5" w:themeShade="80"/>
        </w:rPr>
        <w:t>SEGUNDO EJERCICIO</w:t>
      </w:r>
    </w:p>
    <w:p w:rsidR="001A16C0" w:rsidRPr="003A0F83" w:rsidRDefault="001A16C0" w:rsidP="001A16C0">
      <w:pPr>
        <w:jc w:val="center"/>
        <w:rPr>
          <w:b/>
          <w:color w:val="215868" w:themeColor="accent5" w:themeShade="80"/>
        </w:rPr>
      </w:pPr>
      <w:r>
        <w:rPr>
          <w:b/>
          <w:color w:val="215868" w:themeColor="accent5" w:themeShade="80"/>
        </w:rPr>
        <w:t>B. VERIFICACIÓN DE OBLIGACIONES DEL TRANSPARENCIA</w:t>
      </w:r>
      <w:r w:rsidRPr="003A0F83">
        <w:rPr>
          <w:b/>
          <w:color w:val="215868" w:themeColor="accent5" w:themeShade="80"/>
        </w:rPr>
        <w:t xml:space="preserve"> AL S</w:t>
      </w:r>
      <w:r w:rsidR="00F2318B">
        <w:rPr>
          <w:b/>
          <w:color w:val="215868" w:themeColor="accent5" w:themeShade="80"/>
        </w:rPr>
        <w:t xml:space="preserve">ISTEMA DE PORTALES DE OBLIGACIONES DE TRANSPARENCIA </w:t>
      </w:r>
      <w:r w:rsidR="00534651">
        <w:rPr>
          <w:b/>
          <w:color w:val="215868" w:themeColor="accent5" w:themeShade="80"/>
        </w:rPr>
        <w:t>(S</w:t>
      </w:r>
      <w:r w:rsidRPr="003A0F83">
        <w:rPr>
          <w:b/>
          <w:color w:val="215868" w:themeColor="accent5" w:themeShade="80"/>
        </w:rPr>
        <w:t>IPOT</w:t>
      </w:r>
      <w:r w:rsidR="00534651">
        <w:rPr>
          <w:b/>
          <w:color w:val="215868" w:themeColor="accent5" w:themeShade="80"/>
        </w:rPr>
        <w:t>)</w:t>
      </w:r>
      <w:r w:rsidR="00F2318B">
        <w:rPr>
          <w:b/>
          <w:color w:val="215868" w:themeColor="accent5" w:themeShade="80"/>
        </w:rPr>
        <w:t xml:space="preserve"> DE LA PLATAFORMA NACIONAL DE TRANSPARENCIA (PNT)</w:t>
      </w:r>
    </w:p>
    <w:p w:rsidR="001A16C0" w:rsidRPr="003A0F83" w:rsidRDefault="00D21B2B" w:rsidP="001A16C0">
      <w:pPr>
        <w:jc w:val="both"/>
      </w:pPr>
      <w:r>
        <w:t>La</w:t>
      </w:r>
      <w:r w:rsidR="001A16C0" w:rsidRPr="003A0F83">
        <w:t xml:space="preserve"> verificación </w:t>
      </w:r>
      <w:r w:rsidR="00F2318B">
        <w:t xml:space="preserve">virtual </w:t>
      </w:r>
      <w:r w:rsidR="001A16C0" w:rsidRPr="003A0F83">
        <w:t xml:space="preserve">de las </w:t>
      </w:r>
      <w:r w:rsidR="00534651">
        <w:t>o</w:t>
      </w:r>
      <w:r w:rsidR="001A16C0" w:rsidRPr="003A0F83">
        <w:t xml:space="preserve">bligaciones de </w:t>
      </w:r>
      <w:r w:rsidR="00534651">
        <w:t>t</w:t>
      </w:r>
      <w:r w:rsidR="001A16C0" w:rsidRPr="003A0F83">
        <w:t xml:space="preserve">ransparencia publicadas en el </w:t>
      </w:r>
      <w:r w:rsidR="00F2318B">
        <w:t>SIPOT de la PNT</w:t>
      </w:r>
      <w:r w:rsidR="00F732E8">
        <w:t>,</w:t>
      </w:r>
      <w:r w:rsidR="001A16C0" w:rsidRPr="003A0F83">
        <w:t xml:space="preserve"> se realizará de manera aleatori</w:t>
      </w:r>
      <w:r w:rsidR="003B4422">
        <w:t xml:space="preserve">a y tendrá efectos vinculantes </w:t>
      </w:r>
      <w:r w:rsidR="003B4422" w:rsidRPr="003B4422">
        <w:t xml:space="preserve">para los sujetos obligados </w:t>
      </w:r>
      <w:r w:rsidR="005D1A56">
        <w:t>establecidos</w:t>
      </w:r>
      <w:r w:rsidR="003B4422" w:rsidRPr="003B4422">
        <w:t xml:space="preserve"> en el artículo 24 de la Ley de Transparencia.</w:t>
      </w:r>
      <w:r w:rsidR="003B4422">
        <w:t xml:space="preserve"> </w:t>
      </w:r>
      <w:r w:rsidR="001A16C0" w:rsidRPr="003A0F83">
        <w:t xml:space="preserve">Se contemplarán los criterios sustantivos y adjetivos establecidos en los </w:t>
      </w:r>
      <w:r w:rsidR="001E5AC1">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w:t>
      </w:r>
      <w:r w:rsidR="00886071">
        <w:t>l</w:t>
      </w:r>
      <w:r w:rsidR="001A16C0" w:rsidRPr="003A0F83">
        <w:t xml:space="preserve">ineamientos </w:t>
      </w:r>
      <w:r w:rsidR="00886071">
        <w:t>t</w:t>
      </w:r>
      <w:r w:rsidR="001A16C0" w:rsidRPr="003A0F83">
        <w:t xml:space="preserve">écnicos </w:t>
      </w:r>
      <w:r w:rsidR="00886071">
        <w:t>g</w:t>
      </w:r>
      <w:r w:rsidR="001A16C0" w:rsidRPr="003A0F83">
        <w:t>enerales</w:t>
      </w:r>
      <w:r w:rsidR="00066C3A">
        <w:t xml:space="preserve"> de </w:t>
      </w:r>
      <w:r w:rsidR="00886071">
        <w:t>p</w:t>
      </w:r>
      <w:r w:rsidR="00066C3A">
        <w:t xml:space="preserve">ublicación, </w:t>
      </w:r>
      <w:r w:rsidR="00886071">
        <w:t>h</w:t>
      </w:r>
      <w:r w:rsidR="00066C3A">
        <w:t xml:space="preserve">omologación y </w:t>
      </w:r>
      <w:r w:rsidR="00886071">
        <w:t>e</w:t>
      </w:r>
      <w:r w:rsidR="00066C3A">
        <w:t xml:space="preserve">standarización de la </w:t>
      </w:r>
      <w:r w:rsidR="00886071">
        <w:t>i</w:t>
      </w:r>
      <w:r w:rsidR="00066C3A">
        <w:t>nformación</w:t>
      </w:r>
      <w:r w:rsidR="001E5AC1">
        <w:t>)</w:t>
      </w:r>
      <w:r>
        <w:t>.</w:t>
      </w:r>
    </w:p>
    <w:p w:rsidR="00E33086" w:rsidRPr="00736313" w:rsidRDefault="001A16C0" w:rsidP="00E33086">
      <w:pPr>
        <w:jc w:val="both"/>
      </w:pPr>
      <w:r w:rsidRPr="003A0F83">
        <w:t xml:space="preserve">La verificación </w:t>
      </w:r>
      <w:r w:rsidR="00066C3A">
        <w:t xml:space="preserve">virtual </w:t>
      </w:r>
      <w:r w:rsidRPr="003A0F83">
        <w:t xml:space="preserve">de la información </w:t>
      </w:r>
      <w:r w:rsidR="00066C3A">
        <w:t xml:space="preserve">fundamental </w:t>
      </w:r>
      <w:r w:rsidR="003B4422">
        <w:t xml:space="preserve">general y específica </w:t>
      </w:r>
      <w:r w:rsidR="003B4422" w:rsidRPr="003B4422">
        <w:t>contemplada en los artículos del 8° al 16-Quáter de la Ley de Transparencia</w:t>
      </w:r>
      <w:r w:rsidR="003B4422">
        <w:t>, cuyas obligaciones espejo se encuentran en los artículos del 70 al 8</w:t>
      </w:r>
      <w:r w:rsidR="002009B2">
        <w:t>2</w:t>
      </w:r>
      <w:r w:rsidR="003B4422">
        <w:t xml:space="preserve"> de</w:t>
      </w:r>
      <w:r w:rsidR="00703276" w:rsidRPr="003A0F83">
        <w:t xml:space="preserve"> la Ley </w:t>
      </w:r>
      <w:r w:rsidR="00703276">
        <w:t xml:space="preserve">General de Transparencia y Acceso a la Información Pública (en adelante Ley General), </w:t>
      </w:r>
      <w:r w:rsidRPr="003A0F83">
        <w:t>publicada por los sujetos obligados en el SIPOT</w:t>
      </w:r>
      <w:r w:rsidR="00066C3A">
        <w:t xml:space="preserve"> de la PNT</w:t>
      </w:r>
      <w:r w:rsidR="00703276">
        <w:t>,</w:t>
      </w:r>
      <w:r w:rsidR="00066C3A">
        <w:t xml:space="preserve"> </w:t>
      </w:r>
      <w:r w:rsidR="00C9664C">
        <w:t xml:space="preserve">se llevará a cabo </w:t>
      </w:r>
      <w:r w:rsidR="00E33086" w:rsidRPr="00736313">
        <w:t xml:space="preserve">utilizando de base el </w:t>
      </w:r>
      <w:r w:rsidR="00E33086" w:rsidRPr="004D4CB3">
        <w:rPr>
          <w:i/>
        </w:rPr>
        <w:t>Manual de Procedimientos y Metodología de Evaluación para verificar el cumplimiento de las obligaciones de transparencia que los sujetos obligados del ámbito federal deben de publicar en los Portales de Internet y en La Plataforma Nacional De Transparencia</w:t>
      </w:r>
      <w:r w:rsidR="00E33086" w:rsidRPr="004D4CB3">
        <w:rPr>
          <w:rStyle w:val="Refdenotaalpie"/>
        </w:rPr>
        <w:footnoteReference w:id="3"/>
      </w:r>
      <w:r w:rsidR="00E33086" w:rsidRPr="004D4CB3">
        <w:t>, no</w:t>
      </w:r>
      <w:r w:rsidR="00E33086" w:rsidRPr="00736313">
        <w:t xml:space="preserve"> obstante lo anterior se adecuará a las necesidades del Estado de Jalisco.</w:t>
      </w:r>
    </w:p>
    <w:p w:rsidR="007A2231" w:rsidRDefault="007A2231" w:rsidP="007A2231">
      <w:pPr>
        <w:jc w:val="both"/>
      </w:pPr>
      <w:r w:rsidRPr="00E95BC3">
        <w:t xml:space="preserve">En ese sentido, se iniciará con los trabajos </w:t>
      </w:r>
      <w:r w:rsidR="008F4AF5">
        <w:t>señalados en la presente anualidad</w:t>
      </w:r>
      <w:r>
        <w:t xml:space="preserve"> </w:t>
      </w:r>
      <w:r w:rsidRPr="007A2231">
        <w:t>y concluirá hasta que en su caso se haya realizado la vigilancia respectiva;</w:t>
      </w:r>
      <w:r>
        <w:t xml:space="preserve"> </w:t>
      </w:r>
      <w:r w:rsidRPr="00E95BC3">
        <w:t>además los procesos de verificación y vigilancia se realizarán por bloques de sujetos obligados, según lo determine la Coordinación General de Evaluación y Gestión Documental.</w:t>
      </w:r>
    </w:p>
    <w:p w:rsidR="00215DFF" w:rsidRPr="003A0F83"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EN EL SIPOT DE LA PNT</w:t>
      </w:r>
    </w:p>
    <w:p w:rsidR="00215DFF" w:rsidRDefault="00215DFF" w:rsidP="00215DFF">
      <w:pPr>
        <w:jc w:val="both"/>
      </w:pPr>
      <w:r>
        <w:t>Ahora bien, para el caso que nos ocupa el proceso de verificación se puede resumir de la siguiente manera:</w:t>
      </w:r>
    </w:p>
    <w:p w:rsidR="00215DFF" w:rsidRPr="00B30538" w:rsidRDefault="00215DFF" w:rsidP="00215DFF">
      <w:pPr>
        <w:pStyle w:val="Prrafodelista"/>
        <w:numPr>
          <w:ilvl w:val="0"/>
          <w:numId w:val="14"/>
        </w:numPr>
        <w:jc w:val="both"/>
        <w:rPr>
          <w:b/>
        </w:rPr>
      </w:pPr>
      <w:r w:rsidRPr="00B30538">
        <w:rPr>
          <w:b/>
        </w:rPr>
        <w:t xml:space="preserve">VERIFICACIÓN: </w:t>
      </w:r>
    </w:p>
    <w:p w:rsidR="00215DFF" w:rsidRPr="00B30538" w:rsidRDefault="00215DFF" w:rsidP="00215DFF">
      <w:pPr>
        <w:pStyle w:val="Prrafodelista"/>
        <w:numPr>
          <w:ilvl w:val="1"/>
          <w:numId w:val="14"/>
        </w:numPr>
        <w:jc w:val="both"/>
      </w:pPr>
      <w:r w:rsidRPr="00B30538">
        <w:t>Dictamen de cumplimiento (No se detectaron inconsistencias en la verificación).</w:t>
      </w:r>
    </w:p>
    <w:p w:rsidR="00215DFF" w:rsidRDefault="00215DFF" w:rsidP="00215DFF">
      <w:pPr>
        <w:pStyle w:val="Prrafodelista"/>
        <w:ind w:left="1800"/>
        <w:jc w:val="both"/>
      </w:pPr>
      <w:r w:rsidRPr="00B30538">
        <w:rPr>
          <w:b/>
        </w:rPr>
        <w:t>1.1.2</w:t>
      </w:r>
      <w:r w:rsidRPr="00B30538">
        <w:t xml:space="preserve"> Concluye la verificación</w:t>
      </w:r>
      <w:r>
        <w:t xml:space="preserve"> </w:t>
      </w:r>
    </w:p>
    <w:p w:rsidR="00215DFF" w:rsidRDefault="00215DFF" w:rsidP="00215DFF">
      <w:pPr>
        <w:pStyle w:val="Prrafodelista"/>
        <w:ind w:left="1800"/>
        <w:jc w:val="both"/>
      </w:pPr>
      <w:r>
        <w:rPr>
          <w:b/>
        </w:rPr>
        <w:t>1.1.3</w:t>
      </w:r>
      <w:r>
        <w:t xml:space="preserve"> Archiva de manera definitiva el procedimiento de verificación 20</w:t>
      </w:r>
      <w:r w:rsidR="007745A1">
        <w:t>20</w:t>
      </w:r>
      <w:r w:rsidRPr="00B30538">
        <w:t>.</w:t>
      </w:r>
    </w:p>
    <w:p w:rsidR="00215DFF" w:rsidRPr="00B30538" w:rsidRDefault="00215DFF" w:rsidP="00215DFF">
      <w:pPr>
        <w:pStyle w:val="Prrafodelista"/>
        <w:ind w:left="1800"/>
        <w:jc w:val="both"/>
      </w:pPr>
    </w:p>
    <w:p w:rsidR="00215DFF" w:rsidRPr="00B30538" w:rsidRDefault="00215DFF" w:rsidP="00215DFF">
      <w:pPr>
        <w:pStyle w:val="Prrafodelista"/>
        <w:numPr>
          <w:ilvl w:val="1"/>
          <w:numId w:val="14"/>
        </w:numPr>
        <w:jc w:val="both"/>
      </w:pPr>
      <w:r w:rsidRPr="00B30538">
        <w:t>Dictamen de incumplimiento (Se detectaron inconsistencias en la verificación).</w:t>
      </w:r>
    </w:p>
    <w:p w:rsidR="00215DFF" w:rsidRPr="00B30538" w:rsidRDefault="00215DFF" w:rsidP="00215DFF">
      <w:pPr>
        <w:pStyle w:val="Prrafodelista"/>
        <w:numPr>
          <w:ilvl w:val="2"/>
          <w:numId w:val="14"/>
        </w:numPr>
        <w:jc w:val="both"/>
      </w:pPr>
      <w:r w:rsidRPr="00B30538">
        <w:t xml:space="preserve">Requiere al sujeto obligado </w:t>
      </w:r>
      <w:r w:rsidRPr="0084024A">
        <w:t>un informe, para que en el plazo de</w:t>
      </w:r>
      <w:r w:rsidR="00EB2708">
        <w:t xml:space="preserve"> hasta</w:t>
      </w:r>
      <w:r w:rsidRPr="0084024A">
        <w:t xml:space="preserve"> 20 días hábiles subsane las inconsistencias</w:t>
      </w:r>
      <w:r w:rsidRPr="00B30538">
        <w:t xml:space="preserve"> detectadas).</w:t>
      </w:r>
    </w:p>
    <w:p w:rsidR="00215DFF" w:rsidRPr="00B30538" w:rsidRDefault="00215DFF" w:rsidP="00215DFF">
      <w:pPr>
        <w:pStyle w:val="Prrafodelista"/>
        <w:ind w:left="2520"/>
        <w:jc w:val="both"/>
      </w:pPr>
    </w:p>
    <w:p w:rsidR="00215DFF" w:rsidRPr="00B30538" w:rsidRDefault="00215DFF" w:rsidP="00215DFF">
      <w:pPr>
        <w:pStyle w:val="Prrafodelista"/>
        <w:numPr>
          <w:ilvl w:val="0"/>
          <w:numId w:val="14"/>
        </w:numPr>
        <w:jc w:val="both"/>
        <w:rPr>
          <w:b/>
        </w:rPr>
      </w:pPr>
      <w:r>
        <w:rPr>
          <w:b/>
        </w:rPr>
        <w:t>VIGILANCIA</w:t>
      </w:r>
      <w:r w:rsidRPr="00B30538">
        <w:rPr>
          <w:b/>
        </w:rPr>
        <w:t>:</w:t>
      </w:r>
    </w:p>
    <w:p w:rsidR="00215DFF" w:rsidRPr="00B30538" w:rsidRDefault="00215DFF" w:rsidP="00215DFF">
      <w:pPr>
        <w:pStyle w:val="Prrafodelista"/>
        <w:numPr>
          <w:ilvl w:val="1"/>
          <w:numId w:val="14"/>
        </w:numPr>
        <w:jc w:val="both"/>
      </w:pPr>
      <w:r w:rsidRPr="00B30538">
        <w:t>En base al informe</w:t>
      </w:r>
      <w:r w:rsidRPr="00B30538">
        <w:rPr>
          <w:rStyle w:val="Refdenotaalpie"/>
        </w:rPr>
        <w:footnoteReference w:id="4"/>
      </w:r>
      <w:r w:rsidRPr="00B30538">
        <w:t xml:space="preserve"> enviado por el sujeto obligado, se vuelve a verificar </w:t>
      </w:r>
      <w:r>
        <w:t xml:space="preserve">(vigilancia) </w:t>
      </w:r>
      <w:r w:rsidRPr="00B30538">
        <w:t>las inconsistencias detectadas en el dictamen de incumplimiento hecho en la verificación.</w:t>
      </w:r>
    </w:p>
    <w:p w:rsidR="00215DFF" w:rsidRPr="00B30538" w:rsidRDefault="00215DFF" w:rsidP="00215DFF">
      <w:pPr>
        <w:pStyle w:val="Prrafodelista"/>
        <w:numPr>
          <w:ilvl w:val="1"/>
          <w:numId w:val="14"/>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realizadas en el dictamen de incumplimiento hecho en la verificación.</w:t>
      </w:r>
    </w:p>
    <w:p w:rsidR="00215DFF" w:rsidRPr="00B30538" w:rsidRDefault="00215DFF" w:rsidP="00215DFF">
      <w:pPr>
        <w:pStyle w:val="Prrafodelista"/>
        <w:numPr>
          <w:ilvl w:val="2"/>
          <w:numId w:val="14"/>
        </w:numPr>
        <w:jc w:val="both"/>
      </w:pPr>
      <w:r w:rsidRPr="00B30538">
        <w:t>Dictamen de cumplimiento.</w:t>
      </w:r>
    </w:p>
    <w:p w:rsidR="00215DFF" w:rsidRDefault="00215DFF" w:rsidP="00215DFF">
      <w:pPr>
        <w:pStyle w:val="Prrafodelista"/>
        <w:numPr>
          <w:ilvl w:val="2"/>
          <w:numId w:val="14"/>
        </w:numPr>
        <w:jc w:val="both"/>
      </w:pPr>
      <w:r w:rsidRPr="00B30538">
        <w:t>Concluye la v</w:t>
      </w:r>
      <w:r>
        <w:t>igilancia</w:t>
      </w:r>
      <w:r w:rsidRPr="00B30538">
        <w:t>.</w:t>
      </w:r>
    </w:p>
    <w:p w:rsidR="00215DFF" w:rsidRDefault="00215DFF" w:rsidP="00215DFF">
      <w:pPr>
        <w:pStyle w:val="Prrafodelista"/>
        <w:numPr>
          <w:ilvl w:val="2"/>
          <w:numId w:val="14"/>
        </w:numPr>
        <w:jc w:val="both"/>
      </w:pPr>
      <w:r>
        <w:t>Archiva de manera definitiva el procedimiento de verificación 20</w:t>
      </w:r>
      <w:r w:rsidR="007745A1">
        <w:t>20</w:t>
      </w:r>
      <w:r w:rsidRPr="00B30538">
        <w:t>.</w:t>
      </w:r>
    </w:p>
    <w:p w:rsidR="00215DFF" w:rsidRPr="00B30538" w:rsidRDefault="00215DFF" w:rsidP="00215DFF">
      <w:pPr>
        <w:pStyle w:val="Prrafodelista"/>
        <w:ind w:left="2520"/>
        <w:jc w:val="both"/>
      </w:pPr>
    </w:p>
    <w:p w:rsidR="00215DFF" w:rsidRPr="00B30538" w:rsidRDefault="00215DFF" w:rsidP="00215DFF">
      <w:pPr>
        <w:pStyle w:val="Prrafodelista"/>
        <w:numPr>
          <w:ilvl w:val="1"/>
          <w:numId w:val="14"/>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elaboradas en el dictamen de incumplimiento hecho en la verificación.</w:t>
      </w:r>
    </w:p>
    <w:p w:rsidR="00215DFF" w:rsidRDefault="00215DFF" w:rsidP="00215DFF">
      <w:pPr>
        <w:pStyle w:val="Prrafodelista"/>
        <w:numPr>
          <w:ilvl w:val="2"/>
          <w:numId w:val="14"/>
        </w:numPr>
        <w:jc w:val="both"/>
      </w:pPr>
      <w:r>
        <w:t xml:space="preserve">Se </w:t>
      </w:r>
      <w:r w:rsidRPr="00B30538">
        <w:t xml:space="preserve">notifica </w:t>
      </w:r>
      <w:r>
        <w:t>al Titular del Sujeto Obligado las medidas de apremio o sanciones que el Pleno determine.</w:t>
      </w:r>
    </w:p>
    <w:p w:rsidR="00215DFF" w:rsidRDefault="00215DFF" w:rsidP="00215DFF">
      <w:pPr>
        <w:pStyle w:val="Prrafodelista"/>
        <w:numPr>
          <w:ilvl w:val="2"/>
          <w:numId w:val="14"/>
        </w:numPr>
        <w:jc w:val="both"/>
      </w:pPr>
      <w:r>
        <w:t>Se da vista al órgano interno de control del sujeto obligado para que realice las acciones que conforme a derecho determine.</w:t>
      </w:r>
    </w:p>
    <w:p w:rsidR="00215DFF" w:rsidRDefault="00215DFF" w:rsidP="00215DFF">
      <w:pPr>
        <w:pStyle w:val="Prrafodelista"/>
        <w:numPr>
          <w:ilvl w:val="2"/>
          <w:numId w:val="14"/>
        </w:numPr>
        <w:jc w:val="both"/>
      </w:pPr>
      <w:r>
        <w:t>Dictamen de incumplimiento.</w:t>
      </w:r>
    </w:p>
    <w:p w:rsidR="00215DFF" w:rsidRDefault="00215DFF" w:rsidP="00215DFF">
      <w:pPr>
        <w:pStyle w:val="Prrafodelista"/>
        <w:numPr>
          <w:ilvl w:val="2"/>
          <w:numId w:val="14"/>
        </w:numPr>
        <w:jc w:val="both"/>
      </w:pPr>
      <w:r>
        <w:t xml:space="preserve">Concluye la vigilancia. </w:t>
      </w:r>
    </w:p>
    <w:p w:rsidR="00215DFF" w:rsidRDefault="00215DFF" w:rsidP="00215DFF">
      <w:pPr>
        <w:pStyle w:val="Prrafodelista"/>
        <w:numPr>
          <w:ilvl w:val="2"/>
          <w:numId w:val="14"/>
        </w:numPr>
        <w:jc w:val="both"/>
      </w:pPr>
      <w:r>
        <w:t>Archiva de manera definitiva el procedimiento de verificación 20</w:t>
      </w:r>
      <w:r w:rsidR="007745A1">
        <w:t>20</w:t>
      </w:r>
      <w:r w:rsidRPr="00B30538">
        <w:t>.</w:t>
      </w:r>
    </w:p>
    <w:p w:rsidR="00215DFF" w:rsidRDefault="00215DF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AA601F" w:rsidRDefault="00AA601F" w:rsidP="00215DFF">
      <w:pPr>
        <w:jc w:val="center"/>
        <w:rPr>
          <w:rFonts w:cstheme="minorHAnsi"/>
          <w:b/>
          <w:bCs/>
          <w:color w:val="215868" w:themeColor="accent5" w:themeShade="80"/>
          <w:lang w:val="es-ES"/>
        </w:rPr>
      </w:pPr>
    </w:p>
    <w:p w:rsidR="00215DFF" w:rsidRPr="003A0F83" w:rsidRDefault="00215DFF" w:rsidP="00215DFF">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Pr="003A0F83">
        <w:rPr>
          <w:rFonts w:cstheme="minorHAnsi"/>
          <w:b/>
          <w:bCs/>
          <w:color w:val="215868" w:themeColor="accent5" w:themeShade="80"/>
          <w:lang w:val="es-ES"/>
        </w:rPr>
        <w:t>PROCE</w:t>
      </w:r>
      <w:r>
        <w:rPr>
          <w:rFonts w:cstheme="minorHAnsi"/>
          <w:b/>
          <w:bCs/>
          <w:color w:val="215868" w:themeColor="accent5" w:themeShade="80"/>
          <w:lang w:val="es-ES"/>
        </w:rPr>
        <w:t>SOS</w:t>
      </w:r>
      <w:r w:rsidRPr="003A0F83">
        <w:rPr>
          <w:rFonts w:cstheme="minorHAnsi"/>
          <w:b/>
          <w:bCs/>
          <w:color w:val="215868" w:themeColor="accent5" w:themeShade="80"/>
          <w:lang w:val="es-ES"/>
        </w:rPr>
        <w:t xml:space="preserve"> DE VERIFICACIÓN</w:t>
      </w:r>
      <w:r>
        <w:rPr>
          <w:rFonts w:cstheme="minorHAnsi"/>
          <w:b/>
          <w:bCs/>
          <w:color w:val="215868" w:themeColor="accent5" w:themeShade="80"/>
          <w:lang w:val="es-ES"/>
        </w:rPr>
        <w:t xml:space="preserve"> AL SIPOT DE LA PNT</w:t>
      </w:r>
    </w:p>
    <w:p w:rsidR="00215DFF" w:rsidRDefault="00215DFF" w:rsidP="00215DFF">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215DFF" w:rsidRPr="003A0F83" w:rsidTr="00240368">
        <w:trPr>
          <w:trHeight w:val="445"/>
          <w:tblHeader/>
          <w:jc w:val="center"/>
        </w:trPr>
        <w:tc>
          <w:tcPr>
            <w:tcW w:w="1013"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rsidR="00215DFF" w:rsidRPr="003A0F83" w:rsidRDefault="00215DFF" w:rsidP="00240368">
            <w:pPr>
              <w:jc w:val="center"/>
              <w:rPr>
                <w:rFonts w:cstheme="minorHAnsi"/>
                <w:b/>
                <w:color w:val="FFFFFF"/>
              </w:rPr>
            </w:pPr>
            <w:r w:rsidRPr="003A0F83">
              <w:rPr>
                <w:rFonts w:cstheme="minorHAnsi"/>
                <w:b/>
                <w:color w:val="FFFFFF"/>
              </w:rPr>
              <w:t>Descripción</w:t>
            </w:r>
          </w:p>
        </w:tc>
      </w:tr>
      <w:tr w:rsidR="00215DFF" w:rsidRPr="003A0F83" w:rsidTr="00240368">
        <w:trPr>
          <w:trHeight w:val="693"/>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Verificación sobre publicación de Información Fundamental</w:t>
            </w:r>
          </w:p>
        </w:tc>
        <w:tc>
          <w:tcPr>
            <w:tcW w:w="1286" w:type="pct"/>
            <w:vAlign w:val="center"/>
          </w:tcPr>
          <w:p w:rsidR="00215DFF" w:rsidRPr="003A0F83" w:rsidRDefault="00215DFF" w:rsidP="00AA601F">
            <w:pPr>
              <w:numPr>
                <w:ilvl w:val="0"/>
                <w:numId w:val="15"/>
              </w:numPr>
              <w:tabs>
                <w:tab w:val="clear" w:pos="720"/>
              </w:tabs>
              <w:spacing w:after="0" w:line="240" w:lineRule="auto"/>
              <w:ind w:left="25" w:firstLine="0"/>
              <w:rPr>
                <w:rFonts w:cstheme="minorHAnsi"/>
              </w:rPr>
            </w:pPr>
            <w:r>
              <w:rPr>
                <w:rFonts w:cstheme="minorHAnsi"/>
              </w:rPr>
              <w:t>Aplicación de la MTV</w:t>
            </w:r>
            <w:r>
              <w:rPr>
                <w:rStyle w:val="Refdenotaalpie"/>
                <w:rFonts w:cstheme="minorHAnsi"/>
              </w:rPr>
              <w:footnoteReference w:id="5"/>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Llenar l</w:t>
            </w:r>
            <w:r w:rsidR="003B4800">
              <w:rPr>
                <w:rFonts w:cstheme="minorHAnsi"/>
              </w:rPr>
              <w:t>a</w:t>
            </w:r>
            <w:r w:rsidRPr="003A0F83">
              <w:rPr>
                <w:rFonts w:cstheme="minorHAnsi"/>
              </w:rPr>
              <w:t xml:space="preserve"> </w:t>
            </w:r>
            <w:r w:rsidR="003B4800">
              <w:rPr>
                <w:rFonts w:cstheme="minorHAnsi"/>
              </w:rPr>
              <w:t>MTV</w:t>
            </w:r>
            <w:r w:rsidRPr="003A0F83">
              <w:rPr>
                <w:rFonts w:cstheme="minorHAnsi"/>
              </w:rPr>
              <w:t xml:space="preserve"> de aplicación en el momento de la verificación </w:t>
            </w:r>
            <w:r>
              <w:rPr>
                <w:rFonts w:cstheme="minorHAnsi"/>
              </w:rPr>
              <w:t xml:space="preserve">virtual. </w:t>
            </w:r>
            <w:r w:rsidRPr="003A0F83">
              <w:rPr>
                <w:rFonts w:cstheme="minorHAnsi"/>
              </w:rPr>
              <w:t xml:space="preserve"> </w:t>
            </w:r>
          </w:p>
        </w:tc>
      </w:tr>
      <w:tr w:rsidR="00215DFF" w:rsidRPr="003A0F83" w:rsidTr="00240368">
        <w:trPr>
          <w:trHeight w:val="70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Captura</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Registrar en </w:t>
            </w:r>
            <w:r w:rsidR="00D04AC9">
              <w:rPr>
                <w:rFonts w:cstheme="minorHAnsi"/>
              </w:rPr>
              <w:t>la MTV</w:t>
            </w:r>
            <w:r w:rsidRPr="003A0F83">
              <w:rPr>
                <w:rFonts w:cstheme="minorHAnsi"/>
              </w:rPr>
              <w:t xml:space="preserve"> los valores asignados para c</w:t>
            </w:r>
            <w:r w:rsidR="00D04AC9">
              <w:rPr>
                <w:rFonts w:cstheme="minorHAnsi"/>
              </w:rPr>
              <w:t>ada criterio sustantivo y adjetivo;</w:t>
            </w:r>
            <w:r w:rsidRPr="003A0F83">
              <w:rPr>
                <w:rFonts w:cstheme="minorHAnsi"/>
              </w:rPr>
              <w:t xml:space="preserve"> y describir los hallazgos u observaciones.</w:t>
            </w:r>
          </w:p>
        </w:tc>
      </w:tr>
      <w:tr w:rsidR="00215DFF" w:rsidRPr="003A0F83" w:rsidTr="00240368">
        <w:trPr>
          <w:trHeight w:val="507"/>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15"/>
              </w:numPr>
              <w:spacing w:after="0" w:line="240" w:lineRule="auto"/>
              <w:ind w:left="372"/>
              <w:rPr>
                <w:rFonts w:cstheme="minorHAnsi"/>
              </w:rPr>
            </w:pPr>
            <w:r w:rsidRPr="003A0F83">
              <w:rPr>
                <w:rFonts w:cstheme="minorHAnsi"/>
              </w:rPr>
              <w:t>Procesamiento</w:t>
            </w:r>
          </w:p>
        </w:tc>
        <w:tc>
          <w:tcPr>
            <w:tcW w:w="816" w:type="pct"/>
            <w:vAlign w:val="center"/>
          </w:tcPr>
          <w:p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rsidR="00215DFF" w:rsidRPr="003A0F83" w:rsidRDefault="00D74D57" w:rsidP="00AA601F">
            <w:pPr>
              <w:spacing w:line="240" w:lineRule="auto"/>
              <w:jc w:val="both"/>
              <w:rPr>
                <w:rFonts w:cstheme="minorHAnsi"/>
              </w:rPr>
            </w:pPr>
            <w:r>
              <w:rPr>
                <w:rFonts w:cstheme="minorHAnsi"/>
              </w:rPr>
              <w:t>La MTV g</w:t>
            </w:r>
            <w:r w:rsidR="00215DFF" w:rsidRPr="003A0F83">
              <w:rPr>
                <w:rFonts w:cstheme="minorHAnsi"/>
              </w:rPr>
              <w:t xml:space="preserve">enera </w:t>
            </w:r>
            <w:r>
              <w:rPr>
                <w:rFonts w:cstheme="minorHAnsi"/>
              </w:rPr>
              <w:t>los resultados</w:t>
            </w:r>
            <w:r w:rsidR="00215DFF" w:rsidRPr="003A0F83">
              <w:rPr>
                <w:rFonts w:cstheme="minorHAnsi"/>
              </w:rPr>
              <w:t xml:space="preserve"> por f</w:t>
            </w:r>
            <w:r>
              <w:rPr>
                <w:rFonts w:cstheme="minorHAnsi"/>
              </w:rPr>
              <w:t>racciones y artículos</w:t>
            </w:r>
            <w:r w:rsidR="00215DFF" w:rsidRPr="003A0F83">
              <w:rPr>
                <w:rFonts w:cstheme="minorHAnsi"/>
              </w:rPr>
              <w:t>.</w:t>
            </w:r>
          </w:p>
        </w:tc>
      </w:tr>
      <w:tr w:rsidR="00215DFF" w:rsidRPr="003A0F83" w:rsidTr="00240368">
        <w:trPr>
          <w:jc w:val="center"/>
        </w:trPr>
        <w:tc>
          <w:tcPr>
            <w:tcW w:w="1013" w:type="pct"/>
            <w:vMerge w:val="restart"/>
            <w:textDirection w:val="btLr"/>
            <w:vAlign w:val="center"/>
          </w:tcPr>
          <w:p w:rsidR="00215DFF" w:rsidRPr="003A0F83" w:rsidRDefault="00215DFF" w:rsidP="00240368">
            <w:pPr>
              <w:ind w:left="113" w:right="113"/>
              <w:jc w:val="center"/>
              <w:rPr>
                <w:rFonts w:cstheme="minorHAnsi"/>
              </w:rPr>
            </w:pPr>
            <w:r w:rsidRPr="003A0F83">
              <w:rPr>
                <w:rFonts w:cstheme="minorHAnsi"/>
              </w:rPr>
              <w:t>Análisis de los hallazgos y construcción de</w:t>
            </w:r>
            <w:r>
              <w:rPr>
                <w:rFonts w:cstheme="minorHAnsi"/>
              </w:rPr>
              <w:t xml:space="preserve">l dictamen de verificación </w:t>
            </w:r>
            <w:r w:rsidRPr="003A0F83">
              <w:rPr>
                <w:rFonts w:cstheme="minorHAnsi"/>
              </w:rPr>
              <w:t xml:space="preserve"> </w:t>
            </w:r>
          </w:p>
        </w:tc>
        <w:tc>
          <w:tcPr>
            <w:tcW w:w="1286" w:type="pct"/>
            <w:vAlign w:val="center"/>
          </w:tcPr>
          <w:p w:rsidR="00215DFF" w:rsidRPr="003A0F83" w:rsidRDefault="00215DFF"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rsidR="00215DFF" w:rsidRPr="003A0F83" w:rsidRDefault="00215DFF" w:rsidP="00AA601F">
            <w:pPr>
              <w:spacing w:line="240" w:lineRule="auto"/>
              <w:rPr>
                <w:rFonts w:cstheme="minorHAnsi"/>
              </w:rPr>
            </w:pPr>
            <w:r w:rsidRPr="003A0F83">
              <w:rPr>
                <w:rFonts w:cstheme="minorHAnsi"/>
              </w:rPr>
              <w:t>Coordinación</w:t>
            </w:r>
            <w:r w:rsidR="00D74D57">
              <w:rPr>
                <w:rFonts w:cstheme="minorHAnsi"/>
              </w:rPr>
              <w:t xml:space="preserve">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215DFF" w:rsidRPr="003A0F83" w:rsidTr="00240368">
        <w:trPr>
          <w:trHeight w:val="97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6B0C90">
            <w:pPr>
              <w:numPr>
                <w:ilvl w:val="0"/>
                <w:numId w:val="4"/>
              </w:numPr>
              <w:spacing w:after="0" w:line="240" w:lineRule="auto"/>
              <w:jc w:val="both"/>
              <w:rPr>
                <w:rFonts w:cstheme="minorHAnsi"/>
              </w:rPr>
            </w:pPr>
            <w:r w:rsidRPr="003A0F83">
              <w:rPr>
                <w:rFonts w:cstheme="minorHAnsi"/>
              </w:rPr>
              <w:t>Elaboración de</w:t>
            </w:r>
            <w:r>
              <w:rPr>
                <w:rFonts w:cstheme="minorHAnsi"/>
              </w:rPr>
              <w:t>l dictamen de verificación</w:t>
            </w:r>
            <w:r w:rsidRPr="003A0F83">
              <w:rPr>
                <w:rFonts w:cstheme="minorHAnsi"/>
              </w:rPr>
              <w:t xml:space="preserve"> </w:t>
            </w:r>
          </w:p>
        </w:tc>
        <w:tc>
          <w:tcPr>
            <w:tcW w:w="816" w:type="pct"/>
            <w:vAlign w:val="center"/>
          </w:tcPr>
          <w:p w:rsidR="00215DFF" w:rsidRPr="003A0F83" w:rsidRDefault="00D74D57" w:rsidP="00AA601F">
            <w:pPr>
              <w:spacing w:line="240" w:lineRule="auto"/>
              <w:rPr>
                <w:rFonts w:cstheme="minorHAnsi"/>
              </w:rPr>
            </w:pPr>
            <w:r>
              <w:rPr>
                <w:rFonts w:cstheme="minorHAnsi"/>
              </w:rPr>
              <w:t>Coordinación de Evaluación</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Análisis de los resultados obtenidos, construcción de</w:t>
            </w:r>
            <w:r>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215DFF" w:rsidRPr="003A0F83" w:rsidTr="00240368">
        <w:trPr>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6B0C90">
            <w:pPr>
              <w:numPr>
                <w:ilvl w:val="0"/>
                <w:numId w:val="4"/>
              </w:numPr>
              <w:spacing w:after="0" w:line="240" w:lineRule="auto"/>
              <w:jc w:val="both"/>
              <w:rPr>
                <w:rFonts w:cstheme="minorHAnsi"/>
              </w:rPr>
            </w:pPr>
            <w:r w:rsidRPr="003A0F83">
              <w:rPr>
                <w:rFonts w:cstheme="minorHAnsi"/>
              </w:rPr>
              <w:t>Remisión de</w:t>
            </w:r>
            <w:r>
              <w:rPr>
                <w:rFonts w:cstheme="minorHAnsi"/>
              </w:rPr>
              <w:t>l dictamen de verificación</w:t>
            </w:r>
            <w:r w:rsidRPr="003A0F83">
              <w:rPr>
                <w:rFonts w:cstheme="minorHAnsi"/>
              </w:rPr>
              <w:t xml:space="preserve"> para su Aprobación</w:t>
            </w:r>
          </w:p>
        </w:tc>
        <w:tc>
          <w:tcPr>
            <w:tcW w:w="816" w:type="pct"/>
            <w:vAlign w:val="center"/>
          </w:tcPr>
          <w:p w:rsidR="00215DFF" w:rsidRPr="003A0F83" w:rsidRDefault="00215DFF" w:rsidP="00AA601F">
            <w:pPr>
              <w:spacing w:line="240" w:lineRule="auto"/>
              <w:rPr>
                <w:rFonts w:cstheme="minorHAnsi"/>
              </w:rPr>
            </w:pPr>
            <w:r>
              <w:rPr>
                <w:rFonts w:cstheme="minorHAnsi"/>
              </w:rPr>
              <w:t>Coordinación General</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215DFF" w:rsidRPr="003A0F83" w:rsidTr="00240368">
        <w:trPr>
          <w:trHeight w:val="534"/>
          <w:jc w:val="center"/>
        </w:trPr>
        <w:tc>
          <w:tcPr>
            <w:tcW w:w="1013" w:type="pct"/>
            <w:vMerge/>
            <w:vAlign w:val="center"/>
          </w:tcPr>
          <w:p w:rsidR="00215DFF" w:rsidRPr="003A0F83" w:rsidRDefault="00215DFF" w:rsidP="00240368">
            <w:pPr>
              <w:rPr>
                <w:rFonts w:cstheme="minorHAnsi"/>
              </w:rPr>
            </w:pPr>
          </w:p>
        </w:tc>
        <w:tc>
          <w:tcPr>
            <w:tcW w:w="1286" w:type="pct"/>
            <w:vAlign w:val="center"/>
          </w:tcPr>
          <w:p w:rsidR="00215DFF" w:rsidRPr="003A0F83" w:rsidRDefault="00215DFF" w:rsidP="00AA601F">
            <w:pPr>
              <w:numPr>
                <w:ilvl w:val="0"/>
                <w:numId w:val="4"/>
              </w:numPr>
              <w:spacing w:after="0" w:line="240" w:lineRule="auto"/>
              <w:rPr>
                <w:rFonts w:cstheme="minorHAnsi"/>
              </w:rPr>
            </w:pPr>
            <w:r>
              <w:rPr>
                <w:rFonts w:cstheme="minorHAnsi"/>
              </w:rPr>
              <w:t>Notificación</w:t>
            </w:r>
          </w:p>
        </w:tc>
        <w:tc>
          <w:tcPr>
            <w:tcW w:w="816" w:type="pct"/>
            <w:vAlign w:val="center"/>
          </w:tcPr>
          <w:p w:rsidR="00215DFF" w:rsidRPr="003A0F83" w:rsidRDefault="00215DFF" w:rsidP="00AA601F">
            <w:pPr>
              <w:spacing w:line="240" w:lineRule="auto"/>
              <w:rPr>
                <w:rFonts w:cstheme="minorHAnsi"/>
              </w:rPr>
            </w:pPr>
            <w:r w:rsidRPr="003A0F83">
              <w:rPr>
                <w:rFonts w:cstheme="minorHAnsi"/>
              </w:rPr>
              <w:t>Secretaría Ejecutiva</w:t>
            </w:r>
          </w:p>
        </w:tc>
        <w:tc>
          <w:tcPr>
            <w:tcW w:w="1885" w:type="pct"/>
            <w:vAlign w:val="center"/>
          </w:tcPr>
          <w:p w:rsidR="00215DFF" w:rsidRPr="003A0F83" w:rsidRDefault="00215DFF" w:rsidP="00AA601F">
            <w:pPr>
              <w:spacing w:line="240" w:lineRule="auto"/>
              <w:jc w:val="both"/>
              <w:rPr>
                <w:rFonts w:cstheme="minorHAnsi"/>
              </w:rPr>
            </w:pPr>
            <w:r w:rsidRPr="003A0F83">
              <w:rPr>
                <w:rFonts w:cstheme="minorHAnsi"/>
              </w:rPr>
              <w:t xml:space="preserve">Remitir </w:t>
            </w:r>
            <w:r>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rsidR="00215DFF" w:rsidRDefault="00215DFF" w:rsidP="001A16C0">
      <w:pPr>
        <w:jc w:val="center"/>
        <w:rPr>
          <w:rFonts w:cstheme="minorHAnsi"/>
          <w:b/>
          <w:color w:val="215868"/>
        </w:rPr>
      </w:pPr>
    </w:p>
    <w:p w:rsidR="00616DBD" w:rsidRDefault="00616DBD" w:rsidP="001A16C0">
      <w:pPr>
        <w:jc w:val="center"/>
        <w:rPr>
          <w:rFonts w:cstheme="minorHAnsi"/>
          <w:b/>
          <w:color w:val="215868"/>
        </w:rPr>
      </w:pPr>
    </w:p>
    <w:p w:rsidR="001A16C0" w:rsidRPr="003A0F83" w:rsidRDefault="001A16C0" w:rsidP="001A16C0">
      <w:pPr>
        <w:jc w:val="center"/>
        <w:rPr>
          <w:rFonts w:cstheme="minorHAnsi"/>
          <w:b/>
          <w:color w:val="215868"/>
        </w:rPr>
      </w:pPr>
      <w:r w:rsidRPr="003A0F83">
        <w:rPr>
          <w:rFonts w:cstheme="minorHAnsi"/>
          <w:b/>
          <w:color w:val="215868"/>
        </w:rPr>
        <w:t>CÁLCULO DE CALIFICACIONES</w:t>
      </w:r>
      <w:r>
        <w:rPr>
          <w:rFonts w:cstheme="minorHAnsi"/>
          <w:b/>
          <w:color w:val="215868"/>
        </w:rPr>
        <w:t xml:space="preserve"> DE VERIFICACIÓN AL SIPOT</w:t>
      </w:r>
    </w:p>
    <w:p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615147">
        <w:rPr>
          <w:rFonts w:cstheme="minorHAnsi"/>
        </w:rPr>
        <w:t xml:space="preserve">y actualización </w:t>
      </w:r>
      <w:r w:rsidRPr="003A0F83">
        <w:rPr>
          <w:rFonts w:cstheme="minorHAnsi"/>
        </w:rPr>
        <w:t xml:space="preserve">de la información fundamental se </w:t>
      </w:r>
      <w:r>
        <w:rPr>
          <w:rFonts w:cstheme="minorHAnsi"/>
        </w:rPr>
        <w:t>verifica</w:t>
      </w:r>
      <w:r w:rsidRPr="003A0F83">
        <w:rPr>
          <w:rFonts w:cstheme="minorHAnsi"/>
        </w:rPr>
        <w:t xml:space="preserve"> utilizando una </w:t>
      </w:r>
      <w:r w:rsidRPr="0084024A">
        <w:rPr>
          <w:rFonts w:cstheme="minorHAnsi"/>
        </w:rPr>
        <w:t>escala 0-1, donde</w:t>
      </w:r>
      <w:r w:rsidRPr="003A0F83">
        <w:rPr>
          <w:rFonts w:cstheme="minorHAnsi"/>
        </w:rPr>
        <w:t xml:space="preserve"> el valor ‘0’ significa que NO </w:t>
      </w:r>
      <w:r w:rsidR="006C4592" w:rsidRPr="003A0F83">
        <w:rPr>
          <w:rFonts w:cstheme="minorHAnsi"/>
        </w:rPr>
        <w:t>C</w:t>
      </w:r>
      <w:r w:rsidR="006C4592">
        <w:rPr>
          <w:rFonts w:cstheme="minorHAnsi"/>
        </w:rPr>
        <w:t>UMPLE</w:t>
      </w:r>
      <w:r>
        <w:rPr>
          <w:rFonts w:cstheme="minorHAnsi"/>
        </w:rPr>
        <w:t xml:space="preserve"> con el aspecto verificado,</w:t>
      </w:r>
      <w:r w:rsidRPr="003A0F83">
        <w:rPr>
          <w:rFonts w:cstheme="minorHAnsi"/>
        </w:rPr>
        <w:t xml:space="preserve"> el </w:t>
      </w:r>
      <w:r w:rsidR="00703276">
        <w:rPr>
          <w:rFonts w:cstheme="minorHAnsi"/>
        </w:rPr>
        <w:t xml:space="preserve">‘0.5´que </w:t>
      </w:r>
      <w:r w:rsidR="006C4592">
        <w:rPr>
          <w:rFonts w:cstheme="minorHAnsi"/>
        </w:rPr>
        <w:t>CUMPLE</w:t>
      </w:r>
      <w:r w:rsidR="00703276">
        <w:rPr>
          <w:rFonts w:cstheme="minorHAnsi"/>
        </w:rPr>
        <w:t xml:space="preserve"> PARCIALMENTE</w:t>
      </w:r>
      <w:r w:rsidR="00703276" w:rsidRPr="003A0F83">
        <w:rPr>
          <w:rFonts w:cstheme="minorHAnsi"/>
        </w:rPr>
        <w:t xml:space="preserve"> </w:t>
      </w:r>
      <w:r w:rsidR="00703276">
        <w:rPr>
          <w:rFonts w:cstheme="minorHAnsi"/>
        </w:rPr>
        <w:t xml:space="preserve">y el </w:t>
      </w:r>
      <w:r w:rsidRPr="003A0F83">
        <w:rPr>
          <w:rFonts w:cstheme="minorHAnsi"/>
        </w:rPr>
        <w:t xml:space="preserve">‘1’ que SÍ </w:t>
      </w:r>
      <w:r w:rsidR="006C4592" w:rsidRPr="003A0F83">
        <w:rPr>
          <w:rFonts w:cstheme="minorHAnsi"/>
        </w:rPr>
        <w:t>CUMPLE</w:t>
      </w:r>
      <w:r w:rsidR="006C4592">
        <w:rPr>
          <w:rFonts w:cstheme="minorHAnsi"/>
        </w:rPr>
        <w:t xml:space="preserve">. </w:t>
      </w:r>
    </w:p>
    <w:p w:rsidR="000643AB" w:rsidRDefault="001A16C0" w:rsidP="000643AB">
      <w:pPr>
        <w:jc w:val="both"/>
      </w:pPr>
      <w:r w:rsidRPr="003A0F83">
        <w:rPr>
          <w:rFonts w:cstheme="minorHAnsi"/>
        </w:rPr>
        <w:t xml:space="preserve">La calificación </w:t>
      </w:r>
      <w:r>
        <w:rPr>
          <w:rFonts w:cstheme="minorHAnsi"/>
        </w:rPr>
        <w:t xml:space="preserve">o el índice global de cumplimiento derivados de la verificación del SIPOT </w:t>
      </w:r>
      <w:r w:rsidR="005D1A56">
        <w:rPr>
          <w:rFonts w:cstheme="minorHAnsi"/>
        </w:rPr>
        <w:t xml:space="preserve">de la PNT, </w:t>
      </w:r>
      <w:r>
        <w:rPr>
          <w:rFonts w:cstheme="minorHAnsi"/>
        </w:rPr>
        <w:t>se determinará a partir del cálculo de los parámetros determinados por el total de obligaciones comunes y específicas según el sujeto obligado verificado, de los cuales se derivan los</w:t>
      </w:r>
      <w:r w:rsidR="000643AB" w:rsidRPr="000643AB">
        <w:rPr>
          <w:rFonts w:cstheme="minorHAnsi"/>
        </w:rPr>
        <w:t xml:space="preserve"> </w:t>
      </w:r>
      <w:r w:rsidR="000643AB">
        <w:rPr>
          <w:rFonts w:cstheme="minorHAnsi"/>
        </w:rPr>
        <w:t xml:space="preserve">criterios </w:t>
      </w:r>
      <w:r w:rsidR="000643AB">
        <w:rPr>
          <w:rFonts w:cstheme="minorHAnsi"/>
        </w:rPr>
        <w:lastRenderedPageBreak/>
        <w:t>sustantivos y</w:t>
      </w:r>
      <w:r>
        <w:rPr>
          <w:rFonts w:cstheme="minorHAnsi"/>
        </w:rPr>
        <w:t xml:space="preserve"> adjetivos contemplados en los </w:t>
      </w:r>
      <w:r w:rsidR="000643AB" w:rsidRPr="003A0F83">
        <w:t>Lineamientos Técnicos Generales</w:t>
      </w:r>
      <w:r w:rsidR="000643AB">
        <w:t xml:space="preserve"> de Publicación, Homologación y Estandarización de la Información.</w:t>
      </w:r>
    </w:p>
    <w:p w:rsidR="00C777B4" w:rsidRDefault="00C777B4" w:rsidP="00C777B4">
      <w:pPr>
        <w:autoSpaceDE w:val="0"/>
        <w:autoSpaceDN w:val="0"/>
        <w:adjustRightInd w:val="0"/>
        <w:spacing w:before="160" w:after="160"/>
        <w:jc w:val="both"/>
        <w:rPr>
          <w:rFonts w:cstheme="minorHAnsi"/>
        </w:rPr>
      </w:pPr>
      <w:r>
        <w:rPr>
          <w:rFonts w:cstheme="minorHAnsi"/>
        </w:rPr>
        <w:t>En otro orden de ideas, p</w:t>
      </w:r>
      <w:r w:rsidRPr="00843553">
        <w:rPr>
          <w:rFonts w:cstheme="minorHAnsi"/>
        </w:rPr>
        <w:t xml:space="preserve">ara obtener el </w:t>
      </w:r>
      <w:r>
        <w:rPr>
          <w:rFonts w:cstheme="minorHAnsi"/>
        </w:rPr>
        <w:t>í</w:t>
      </w:r>
      <w:r w:rsidRPr="00843553">
        <w:rPr>
          <w:rFonts w:cstheme="minorHAnsi"/>
        </w:rPr>
        <w:t xml:space="preserve">ndice de </w:t>
      </w:r>
      <w:r>
        <w:rPr>
          <w:rFonts w:cstheme="minorHAnsi"/>
        </w:rPr>
        <w:t>c</w:t>
      </w:r>
      <w:r w:rsidRPr="00843553">
        <w:rPr>
          <w:rFonts w:cstheme="minorHAnsi"/>
        </w:rPr>
        <w:t xml:space="preserve">umplimiento </w:t>
      </w:r>
      <w:r>
        <w:rPr>
          <w:rFonts w:cstheme="minorHAnsi"/>
        </w:rPr>
        <w:t>g</w:t>
      </w:r>
      <w:r w:rsidRPr="00843553">
        <w:rPr>
          <w:rFonts w:cstheme="minorHAnsi"/>
        </w:rPr>
        <w:t>lobal en la información publicada en el SIPOT</w:t>
      </w:r>
      <w:r>
        <w:rPr>
          <w:rFonts w:cstheme="minorHAnsi"/>
        </w:rPr>
        <w:t xml:space="preserve"> de la PNT</w:t>
      </w:r>
      <w:r w:rsidRPr="00843553">
        <w:rPr>
          <w:rFonts w:cstheme="minorHAnsi"/>
        </w:rPr>
        <w:t xml:space="preserve">, se realizará un cálculo de los índices </w:t>
      </w:r>
      <w:r>
        <w:rPr>
          <w:rFonts w:cstheme="minorHAnsi"/>
        </w:rPr>
        <w:t>de cumplimientos</w:t>
      </w:r>
      <w:r w:rsidRPr="00843553">
        <w:rPr>
          <w:rFonts w:cstheme="minorHAnsi"/>
        </w:rPr>
        <w:t xml:space="preserve"> </w:t>
      </w:r>
      <w:r>
        <w:rPr>
          <w:rFonts w:cstheme="minorHAnsi"/>
        </w:rPr>
        <w:t>de criterios s</w:t>
      </w:r>
      <w:r w:rsidRPr="00843553">
        <w:rPr>
          <w:rFonts w:cstheme="minorHAnsi"/>
        </w:rPr>
        <w:t xml:space="preserve">ustantivos </w:t>
      </w:r>
      <w:r>
        <w:rPr>
          <w:rFonts w:cstheme="minorHAnsi"/>
        </w:rPr>
        <w:t>determinando</w:t>
      </w:r>
      <w:r w:rsidRPr="00843553">
        <w:rPr>
          <w:rFonts w:cstheme="minorHAnsi"/>
        </w:rPr>
        <w:t xml:space="preserve"> la existencia o no de la información que debe estar publicada atendiendo a cada uno de los elementos que debe contener cada registro de información. De la misma forma, se estimarán los índices </w:t>
      </w:r>
      <w:r>
        <w:rPr>
          <w:rFonts w:cstheme="minorHAnsi"/>
        </w:rPr>
        <w:t>de cumplimiento de criterios a</w:t>
      </w:r>
      <w:r w:rsidRPr="00843553">
        <w:rPr>
          <w:rFonts w:cstheme="minorHAnsi"/>
        </w:rPr>
        <w:t>djetivos para medir la calidad de dicha información</w:t>
      </w:r>
      <w:r>
        <w:rPr>
          <w:rFonts w:cstheme="minorHAnsi"/>
        </w:rPr>
        <w:t xml:space="preserve">. </w:t>
      </w:r>
    </w:p>
    <w:p w:rsidR="00C777B4" w:rsidRDefault="00C777B4" w:rsidP="00C777B4">
      <w:pPr>
        <w:autoSpaceDE w:val="0"/>
        <w:autoSpaceDN w:val="0"/>
        <w:adjustRightInd w:val="0"/>
        <w:spacing w:before="160" w:after="160"/>
        <w:jc w:val="both"/>
        <w:rPr>
          <w:rFonts w:cstheme="minorHAnsi"/>
        </w:rPr>
      </w:pPr>
      <w:r>
        <w:rPr>
          <w:rFonts w:cstheme="minorHAnsi"/>
        </w:rPr>
        <w:t>Lo anterior,</w:t>
      </w:r>
      <w:r w:rsidRPr="00843553">
        <w:rPr>
          <w:rFonts w:cstheme="minorHAnsi"/>
        </w:rPr>
        <w:t xml:space="preserve"> atendiendo la aplicabilidad de las obligaciones de transparencia correspondientes a cada sujeto obligado conforme a la Tabla de Aplicabilidad</w:t>
      </w:r>
      <w:r>
        <w:rPr>
          <w:rFonts w:cstheme="minorHAnsi"/>
        </w:rPr>
        <w:t xml:space="preserve"> aprobada</w:t>
      </w:r>
      <w:r w:rsidRPr="00843553">
        <w:rPr>
          <w:rFonts w:cstheme="minorHAnsi"/>
        </w:rPr>
        <w:t xml:space="preserve"> por el Pleno del I</w:t>
      </w:r>
      <w:r>
        <w:rPr>
          <w:rFonts w:cstheme="minorHAnsi"/>
        </w:rPr>
        <w:t>nstituto</w:t>
      </w:r>
      <w:r w:rsidRPr="00843553">
        <w:rPr>
          <w:rFonts w:cstheme="minorHAnsi"/>
        </w:rPr>
        <w:t xml:space="preserve"> y de las obligaciones prescritas en la Ley de Transparencia </w:t>
      </w:r>
      <w:r>
        <w:rPr>
          <w:rFonts w:cstheme="minorHAnsi"/>
        </w:rPr>
        <w:t xml:space="preserve">y sus respectivos Lineamientos. </w:t>
      </w:r>
      <w:r w:rsidRPr="0084024A">
        <w:rPr>
          <w:rFonts w:cstheme="minorHAnsi"/>
        </w:rPr>
        <w:t>Los criterios sustantivos tienen asignado un peso de 60 por ciento, en tanto que los criterios adjetivos pesan un 40 por ciento.</w:t>
      </w:r>
      <w:r w:rsidRPr="0084024A">
        <w:rPr>
          <w:rStyle w:val="Refdenotaalpie"/>
          <w:rFonts w:cstheme="minorHAnsi"/>
        </w:rPr>
        <w:footnoteReference w:id="6"/>
      </w:r>
    </w:p>
    <w:p w:rsidR="00C777B4" w:rsidRDefault="00C777B4" w:rsidP="00C777B4">
      <w:pPr>
        <w:autoSpaceDE w:val="0"/>
        <w:autoSpaceDN w:val="0"/>
        <w:adjustRightInd w:val="0"/>
        <w:spacing w:before="160" w:after="160"/>
        <w:jc w:val="both"/>
        <w:rPr>
          <w:rFonts w:cstheme="minorHAnsi"/>
        </w:rPr>
      </w:pPr>
      <w:r>
        <w:rPr>
          <w:rFonts w:cstheme="minorHAnsi"/>
        </w:rPr>
        <w:t xml:space="preserve">De esta manera, para la verificación en el SIPOT de la PNT se utilizará la </w:t>
      </w:r>
      <w:r w:rsidR="00D25BBF">
        <w:rPr>
          <w:rFonts w:cstheme="minorHAnsi"/>
        </w:rPr>
        <w:t>m</w:t>
      </w:r>
      <w:r>
        <w:rPr>
          <w:rFonts w:cstheme="minorHAnsi"/>
        </w:rPr>
        <w:t xml:space="preserve">emoria </w:t>
      </w:r>
      <w:r w:rsidR="00D25BBF">
        <w:rPr>
          <w:rFonts w:cstheme="minorHAnsi"/>
        </w:rPr>
        <w:t>t</w:t>
      </w:r>
      <w:r>
        <w:rPr>
          <w:rFonts w:cstheme="minorHAnsi"/>
        </w:rPr>
        <w:t xml:space="preserve">écnica de </w:t>
      </w:r>
      <w:r w:rsidR="00D25BBF">
        <w:rPr>
          <w:rFonts w:cstheme="minorHAnsi"/>
        </w:rPr>
        <w:t>v</w:t>
      </w:r>
      <w:r>
        <w:rPr>
          <w:rFonts w:cstheme="minorHAnsi"/>
        </w:rPr>
        <w:t xml:space="preserve">erificación, elaborada por el </w:t>
      </w:r>
      <w:r w:rsidR="00D25BBF">
        <w:rPr>
          <w:rFonts w:cstheme="minorHAnsi"/>
        </w:rPr>
        <w:t>Instituto Nacional de Transparencia, Acceso a la Información y Protección de Datos Personales,</w:t>
      </w:r>
      <w:r>
        <w:rPr>
          <w:rFonts w:cstheme="minorHAnsi"/>
        </w:rPr>
        <w:t xml:space="preserve"> en base a la Ley General.</w:t>
      </w:r>
    </w:p>
    <w:p w:rsidR="006177BE" w:rsidRDefault="0084024A" w:rsidP="006177BE">
      <w:pPr>
        <w:autoSpaceDE w:val="0"/>
        <w:autoSpaceDN w:val="0"/>
        <w:adjustRightInd w:val="0"/>
        <w:spacing w:before="160" w:after="160"/>
        <w:jc w:val="both"/>
        <w:rPr>
          <w:rFonts w:cstheme="minorHAnsi"/>
        </w:rPr>
      </w:pPr>
      <w:r>
        <w:rPr>
          <w:rFonts w:cstheme="minorHAnsi"/>
        </w:rPr>
        <w:t>Ahora bien, e</w:t>
      </w:r>
      <w:r w:rsidR="006177BE" w:rsidRPr="0084024A">
        <w:rPr>
          <w:rFonts w:cstheme="minorHAnsi"/>
        </w:rPr>
        <w:t>l cálculo para determinar los índices de cumplimiento anteriormente descritos se realizarán aplicando lo siguiente:</w:t>
      </w:r>
    </w:p>
    <w:p w:rsidR="006177BE" w:rsidRPr="00843553" w:rsidRDefault="006177BE" w:rsidP="006177BE">
      <w:pPr>
        <w:autoSpaceDE w:val="0"/>
        <w:autoSpaceDN w:val="0"/>
        <w:adjustRightInd w:val="0"/>
        <w:spacing w:before="160" w:after="160"/>
        <w:jc w:val="both"/>
        <w:rPr>
          <w:rFonts w:cstheme="minorHAnsi"/>
          <w:b/>
          <w:i/>
          <w:color w:val="215868"/>
          <w:sz w:val="24"/>
          <w:szCs w:val="24"/>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Sustantivos</w:t>
      </w:r>
    </w:p>
    <w:p w:rsidR="006177BE" w:rsidRPr="00257F9C" w:rsidRDefault="006B30B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r>
                        <m:rPr>
                          <m:sty m:val="bi"/>
                        </m:rPr>
                        <w:rPr>
                          <w:rFonts w:ascii="Cambria Math" w:hAnsi="Cambria Math" w:cs="Arial"/>
                        </w:rPr>
                        <m:t xml:space="preserve"> </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6B30B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6B30B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Sustantivos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6C4592">
        <w:rPr>
          <w:rFonts w:ascii="Arial Narrow" w:hAnsi="Arial Narrow" w:cs="Arial"/>
          <w:bCs/>
          <w:i/>
          <w:iCs/>
        </w:rPr>
        <w:t>N</w:t>
      </w:r>
      <w:r>
        <w:rPr>
          <w:rFonts w:ascii="Arial Narrow" w:hAnsi="Arial Narrow" w:cs="Arial"/>
          <w:i/>
          <w:iCs/>
        </w:rPr>
        <w:t>úmero de Criterios Sustantivos Validados</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84024A" w:rsidRDefault="0084024A" w:rsidP="006177BE">
      <w:pPr>
        <w:spacing w:before="360" w:after="120" w:line="360" w:lineRule="auto"/>
        <w:jc w:val="center"/>
        <w:rPr>
          <w:rFonts w:cstheme="minorHAnsi"/>
          <w:b/>
          <w:color w:val="215868"/>
        </w:rPr>
      </w:pPr>
    </w:p>
    <w:p w:rsidR="006177BE" w:rsidRDefault="006177BE" w:rsidP="006177BE">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Adjetivos</w:t>
      </w:r>
    </w:p>
    <w:p w:rsidR="006177BE" w:rsidRPr="0085629C" w:rsidRDefault="006B30B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VCAi</m:t>
                      </m:r>
                    </m:num>
                    <m:den>
                      <m:r>
                        <w:rPr>
                          <w:rFonts w:ascii="Cambria Math" w:hAnsi="Cambria Math" w:cstheme="minorHAnsi"/>
                        </w:rPr>
                        <m:t>n</m:t>
                      </m:r>
                    </m:den>
                  </m:f>
                </m:e>
              </m:d>
              <m:r>
                <w:rPr>
                  <w:rFonts w:ascii="Cambria Math" w:hAnsi="Cambria Math" w:cstheme="minorHAnsi"/>
                </w:rPr>
                <m:t>×100</m:t>
              </m:r>
            </m:e>
          </m:nary>
        </m:oMath>
      </m:oMathPara>
    </w:p>
    <w:p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rsidR="006177BE" w:rsidRPr="00B01518" w:rsidRDefault="006B30B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Pr="00B01518" w:rsidRDefault="006B30B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Pr>
          <w:rFonts w:ascii="Arial Narrow" w:hAnsi="Arial Narrow" w:cs="Arial"/>
          <w:i/>
          <w:iCs/>
        </w:rPr>
        <w:t xml:space="preserve">Número de Criterios Adjetivos Validados </w:t>
      </w:r>
    </w:p>
    <w:p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84024A" w:rsidRDefault="0084024A" w:rsidP="006177BE">
      <w:pPr>
        <w:spacing w:before="360" w:after="120" w:line="360" w:lineRule="auto"/>
        <w:jc w:val="center"/>
        <w:rPr>
          <w:rFonts w:cstheme="minorHAnsi"/>
          <w:b/>
          <w:color w:val="215868"/>
        </w:rPr>
      </w:pPr>
    </w:p>
    <w:p w:rsidR="006177BE" w:rsidRPr="003A0F83"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Global</w:t>
      </w:r>
    </w:p>
    <w:p w:rsidR="006177BE" w:rsidRPr="0085629C" w:rsidRDefault="006B30B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=0.60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num>
                <m:den>
                  <m:r>
                    <w:rPr>
                      <w:rFonts w:ascii="Cambria Math" w:hAnsi="Cambria Math" w:cstheme="minorHAnsi"/>
                    </w:rPr>
                    <m:t>n</m:t>
                  </m:r>
                </m:den>
              </m:f>
            </m:e>
          </m:nary>
          <m:r>
            <w:rPr>
              <w:rFonts w:ascii="Cambria Math" w:hAnsi="Cambria Math" w:cstheme="minorHAnsi"/>
            </w:rPr>
            <m:t xml:space="preserve"> +0.40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num>
                <m:den>
                  <m:r>
                    <w:rPr>
                      <w:rFonts w:ascii="Cambria Math" w:hAnsi="Cambria Math" w:cstheme="minorHAnsi"/>
                    </w:rPr>
                    <m:t>n</m:t>
                  </m:r>
                </m:den>
              </m:f>
            </m:e>
          </m:nary>
        </m:oMath>
      </m:oMathPara>
    </w:p>
    <w:p w:rsidR="006177BE" w:rsidRDefault="006177BE" w:rsidP="006177BE">
      <w:pPr>
        <w:spacing w:before="120"/>
        <w:jc w:val="both"/>
        <w:rPr>
          <w:rFonts w:ascii="Arial Narrow" w:hAnsi="Arial Narrow" w:cs="Arial"/>
        </w:rPr>
      </w:pPr>
      <w:r w:rsidRPr="00B01518">
        <w:rPr>
          <w:rFonts w:ascii="Arial Narrow" w:hAnsi="Arial Narrow" w:cs="Arial"/>
        </w:rPr>
        <w:t>Dónde:</w:t>
      </w:r>
    </w:p>
    <w:p w:rsidR="006177BE" w:rsidRDefault="006B30B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Cumplimiento Global</w:t>
      </w:r>
    </w:p>
    <w:p w:rsidR="006177BE" w:rsidRPr="002725F9" w:rsidRDefault="006B30B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rsidR="006177BE" w:rsidRPr="00B01518" w:rsidRDefault="006B30B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B01518">
        <w:rPr>
          <w:rFonts w:ascii="Arial Narrow" w:hAnsi="Arial Narrow" w:cs="Arial"/>
          <w:i/>
          <w:iCs/>
        </w:rPr>
        <w:t xml:space="preserve">Total de parámetros </w:t>
      </w:r>
      <w:r>
        <w:rPr>
          <w:rFonts w:ascii="Arial Narrow" w:hAnsi="Arial Narrow" w:cs="Arial"/>
          <w:i/>
          <w:iCs/>
        </w:rPr>
        <w:t>aplicables al sujeto obligado validados</w:t>
      </w:r>
    </w:p>
    <w:p w:rsidR="006177BE" w:rsidRPr="001A16C0"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rsidR="006177BE" w:rsidRDefault="006177BE"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C777B4" w:rsidRDefault="00C777B4" w:rsidP="000643AB">
      <w:pPr>
        <w:jc w:val="both"/>
      </w:pPr>
    </w:p>
    <w:p w:rsidR="00DB0A5B" w:rsidRPr="00D257BA" w:rsidRDefault="00DB0A5B" w:rsidP="00DB0A5B">
      <w:pPr>
        <w:spacing w:before="240" w:after="240" w:line="360" w:lineRule="auto"/>
        <w:jc w:val="center"/>
        <w:rPr>
          <w:rFonts w:cstheme="minorHAnsi"/>
          <w:bCs/>
        </w:rPr>
      </w:pPr>
      <w:r w:rsidRPr="00D257BA">
        <w:rPr>
          <w:rFonts w:cstheme="minorHAnsi"/>
          <w:b/>
          <w:color w:val="215868"/>
        </w:rPr>
        <w:lastRenderedPageBreak/>
        <w:t>ELEMENTOS DE LA</w:t>
      </w:r>
      <w:r>
        <w:rPr>
          <w:rFonts w:cstheme="minorHAnsi"/>
          <w:b/>
          <w:color w:val="215868"/>
        </w:rPr>
        <w:t xml:space="preserve"> VERIFICACIÓN AL SIPOT DE LA PNT</w:t>
      </w:r>
    </w:p>
    <w:p w:rsidR="00DB0A5B" w:rsidRPr="00D257BA" w:rsidRDefault="00DB0A5B" w:rsidP="00DB0A5B">
      <w:pPr>
        <w:spacing w:before="240" w:after="240" w:line="360" w:lineRule="auto"/>
        <w:ind w:left="708"/>
        <w:jc w:val="both"/>
        <w:rPr>
          <w:rFonts w:cstheme="minorHAnsi"/>
          <w:b/>
          <w:color w:val="215868"/>
        </w:rPr>
      </w:pPr>
      <w:r w:rsidRPr="00D257BA">
        <w:rPr>
          <w:rFonts w:cstheme="minorHAnsi"/>
          <w:b/>
          <w:noProof/>
          <w:color w:val="215868"/>
          <w:lang w:eastAsia="es-MX"/>
        </w:rPr>
        <w:drawing>
          <wp:inline distT="0" distB="0" distL="0" distR="0" wp14:anchorId="74E8F678" wp14:editId="28444BDC">
            <wp:extent cx="5486400" cy="3200400"/>
            <wp:effectExtent l="12700" t="12700" r="12700" b="127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16DBD" w:rsidRDefault="00616DBD" w:rsidP="00DB0A5B">
      <w:pPr>
        <w:jc w:val="center"/>
        <w:rPr>
          <w:rFonts w:cstheme="minorHAnsi"/>
          <w:b/>
          <w:color w:val="215868" w:themeColor="accent5" w:themeShade="80"/>
          <w:lang w:val="es-ES"/>
        </w:rPr>
      </w:pPr>
    </w:p>
    <w:p w:rsidR="00DB0A5B" w:rsidRPr="00D257BA" w:rsidRDefault="00DB0A5B" w:rsidP="00DB0A5B">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Pr>
          <w:rFonts w:cstheme="minorHAnsi"/>
          <w:b/>
          <w:color w:val="215868" w:themeColor="accent5" w:themeShade="80"/>
          <w:lang w:val="es-ES"/>
        </w:rPr>
        <w:t>CRITERIOS</w:t>
      </w:r>
      <w:r w:rsidRPr="00D257BA">
        <w:rPr>
          <w:rFonts w:cstheme="minorHAnsi"/>
          <w:b/>
          <w:color w:val="215868" w:themeColor="accent5" w:themeShade="80"/>
          <w:lang w:val="es-ES"/>
        </w:rPr>
        <w:t xml:space="preserve"> </w:t>
      </w:r>
      <w:r w:rsidR="00C777B4">
        <w:rPr>
          <w:rFonts w:cstheme="minorHAnsi"/>
          <w:b/>
          <w:color w:val="215868" w:themeColor="accent5" w:themeShade="80"/>
          <w:lang w:val="es-ES"/>
        </w:rPr>
        <w:t xml:space="preserve">SUSTANTIVOS Y </w:t>
      </w:r>
      <w:r w:rsidRPr="00D257BA">
        <w:rPr>
          <w:rFonts w:cstheme="minorHAnsi"/>
          <w:b/>
          <w:color w:val="215868" w:themeColor="accent5" w:themeShade="80"/>
          <w:lang w:val="es-ES"/>
        </w:rPr>
        <w:t>ADJETIVOS</w:t>
      </w:r>
    </w:p>
    <w:p w:rsidR="005D1A56" w:rsidRDefault="005D1A56" w:rsidP="005D1A56">
      <w:pPr>
        <w:jc w:val="both"/>
      </w:pPr>
      <w:r>
        <w:t xml:space="preserve">Ahora bien, de conformidad con el lineamiento décimo quinto de los </w:t>
      </w:r>
      <w:r w:rsidR="00D25BBF">
        <w:t>l</w:t>
      </w:r>
      <w:r>
        <w:t>ineamientos</w:t>
      </w:r>
      <w:r w:rsidR="00D25BBF">
        <w:t xml:space="preserve"> técnicos generales de publicación, homologación y estandarización de la información</w:t>
      </w:r>
      <w:r>
        <w:t xml:space="preserve">, los </w:t>
      </w:r>
      <w:r w:rsidRPr="005D1A56">
        <w:rPr>
          <w:b/>
          <w:bCs/>
        </w:rPr>
        <w:t>criterios sustantivos de contenido</w:t>
      </w:r>
      <w:r>
        <w:t xml:space="preserve">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 </w:t>
      </w:r>
    </w:p>
    <w:p w:rsidR="005D1A56" w:rsidRDefault="005D1A56" w:rsidP="005D1A56">
      <w:pPr>
        <w:jc w:val="both"/>
      </w:pPr>
      <w:r>
        <w:t xml:space="preserve">En ese sentido, el lineamiento décimo sexto refiere que los </w:t>
      </w:r>
      <w:r w:rsidRPr="005D1A56">
        <w:rPr>
          <w:b/>
          <w:bCs/>
        </w:rPr>
        <w:t>criterios adjetivos de actualización</w:t>
      </w:r>
      <w:r>
        <w:t xml:space="preserve"> son los elementos mínimos de análisis que permiten determinar si la información que está publicada en el portal de transparencia y en la Plataforma Nacional cumple con los periodos de actualización que corresponda a cada obligación de transparencia.</w:t>
      </w:r>
    </w:p>
    <w:p w:rsidR="005D1A56" w:rsidRDefault="005D1A56" w:rsidP="005D1A56">
      <w:pPr>
        <w:jc w:val="both"/>
      </w:pPr>
      <w:r>
        <w:t xml:space="preserve">De igual forma, el lineamiento décimo séptimo, establece que los </w:t>
      </w:r>
      <w:r w:rsidRPr="00C777B4">
        <w:rPr>
          <w:b/>
        </w:rPr>
        <w:t>criterios adjetivos de confiabilidad</w:t>
      </w:r>
      <w:r>
        <w:t xml:space="preserve">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el sujeto obligado confirma que es la más actualizada. </w:t>
      </w:r>
    </w:p>
    <w:p w:rsidR="005D1A56" w:rsidRDefault="005D1A56" w:rsidP="005D1A56">
      <w:pPr>
        <w:jc w:val="both"/>
      </w:pPr>
      <w:r>
        <w:t xml:space="preserve">Asimismo, el lineamiento décimo octavo reseña que los </w:t>
      </w:r>
      <w:r w:rsidRPr="00C777B4">
        <w:rPr>
          <w:b/>
        </w:rPr>
        <w:t>criterios adjetivos de formato</w:t>
      </w:r>
      <w:r>
        <w:t xml:space="preserve"> son los elementos mínimos de análisis para identificar que la información publicada en el portal de transparencia y en la Plataforma Nacional se encuentra organizada y sistematizada mediante los </w:t>
      </w:r>
      <w:r>
        <w:lastRenderedPageBreak/>
        <w:t xml:space="preserve">formatos correspondientes para cada rubro de información; y que el soporte de la misma permita su reutilización a las y los usuarios. </w:t>
      </w:r>
    </w:p>
    <w:p w:rsidR="00537678" w:rsidRPr="00D257BA" w:rsidRDefault="00537678" w:rsidP="00537678">
      <w:pPr>
        <w:jc w:val="both"/>
        <w:rPr>
          <w:rFonts w:cstheme="minorHAnsi"/>
        </w:rPr>
      </w:pPr>
      <w:r>
        <w:rPr>
          <w:rFonts w:cstheme="minorHAnsi"/>
        </w:rPr>
        <w:t xml:space="preserve">En otro orden de ideas, se hace hincapié en que la información fundamental general o específica debe actualizarse por lo menos una vez al mes, de conformidad al artículo </w:t>
      </w:r>
      <w:r w:rsidRPr="00D257BA">
        <w:rPr>
          <w:rFonts w:cstheme="minorHAnsi"/>
        </w:rPr>
        <w:t>25, p</w:t>
      </w:r>
      <w:r>
        <w:rPr>
          <w:rFonts w:cstheme="minorHAnsi"/>
        </w:rPr>
        <w:t>árrafo</w:t>
      </w:r>
      <w:r w:rsidRPr="00D257BA">
        <w:rPr>
          <w:rFonts w:cstheme="minorHAnsi"/>
        </w:rPr>
        <w:t xml:space="preserve"> 1, fracción VI, de la Ley de Transparencia.</w:t>
      </w:r>
    </w:p>
    <w:p w:rsidR="00537678" w:rsidRDefault="00537678" w:rsidP="00537678">
      <w:pPr>
        <w:jc w:val="both"/>
        <w:rPr>
          <w:rFonts w:cstheme="minorHAnsi"/>
        </w:rPr>
      </w:pPr>
      <w:r w:rsidRPr="00D257BA">
        <w:rPr>
          <w:rFonts w:cstheme="minorHAnsi"/>
        </w:rPr>
        <w:t xml:space="preserve">De igual forma, </w:t>
      </w:r>
      <w:r w:rsidRPr="007C2E01">
        <w:rPr>
          <w:rFonts w:cstheme="minorHAnsi"/>
        </w:rPr>
        <w:t>el artículo 119, párrafo</w:t>
      </w:r>
      <w:r>
        <w:rPr>
          <w:rFonts w:cstheme="minorHAnsi"/>
        </w:rPr>
        <w:t xml:space="preserve"> 1, fracciones II, III, IV,</w:t>
      </w:r>
      <w:r w:rsidRPr="007C2E01">
        <w:rPr>
          <w:rFonts w:cstheme="minorHAnsi"/>
        </w:rPr>
        <w:t xml:space="preserve"> VIII</w:t>
      </w:r>
      <w:r>
        <w:rPr>
          <w:rFonts w:cstheme="minorHAnsi"/>
        </w:rPr>
        <w:t xml:space="preserve"> y XIV</w:t>
      </w:r>
      <w:r w:rsidRPr="007C2E01">
        <w:rPr>
          <w:rFonts w:cstheme="minorHAnsi"/>
        </w:rPr>
        <w:t xml:space="preserve">; así como el artículo 123, </w:t>
      </w:r>
      <w:r>
        <w:rPr>
          <w:rFonts w:cstheme="minorHAnsi"/>
        </w:rPr>
        <w:t xml:space="preserve">párrafo 1, </w:t>
      </w:r>
      <w:r w:rsidRPr="007C2E01">
        <w:rPr>
          <w:rFonts w:cstheme="minorHAnsi"/>
        </w:rPr>
        <w:t>fracción I, inciso a)</w:t>
      </w:r>
      <w:r>
        <w:rPr>
          <w:rFonts w:cstheme="minorHAnsi"/>
        </w:rPr>
        <w:t>;</w:t>
      </w:r>
      <w:r w:rsidRPr="007C2E01">
        <w:rPr>
          <w:rFonts w:cstheme="minorHAnsi"/>
        </w:rPr>
        <w:t xml:space="preserve"> fracción II, inciso a)</w:t>
      </w:r>
      <w:r>
        <w:rPr>
          <w:rFonts w:cstheme="minorHAnsi"/>
        </w:rPr>
        <w:t xml:space="preserve"> y fracción III, inciso a)</w:t>
      </w:r>
      <w:r w:rsidRPr="007C2E01">
        <w:rPr>
          <w:rFonts w:cstheme="minorHAnsi"/>
        </w:rPr>
        <w:t>, de la Ley de Transparencia, establecen las</w:t>
      </w:r>
      <w:r w:rsidRPr="00D257BA">
        <w:rPr>
          <w:rFonts w:cstheme="minorHAnsi"/>
        </w:rPr>
        <w:t xml:space="preserve"> infracciones y sanciones en relación a la publicación </w:t>
      </w:r>
      <w:r>
        <w:rPr>
          <w:rFonts w:cstheme="minorHAnsi"/>
        </w:rPr>
        <w:t xml:space="preserve">y actualización </w:t>
      </w:r>
      <w:r w:rsidRPr="00D257BA">
        <w:rPr>
          <w:rFonts w:cstheme="minorHAnsi"/>
        </w:rPr>
        <w:t xml:space="preserve">de </w:t>
      </w:r>
      <w:r>
        <w:rPr>
          <w:rFonts w:cstheme="minorHAnsi"/>
        </w:rPr>
        <w:t xml:space="preserve">la </w:t>
      </w:r>
      <w:r w:rsidRPr="00D257BA">
        <w:rPr>
          <w:rFonts w:cstheme="minorHAnsi"/>
        </w:rPr>
        <w:t xml:space="preserve">información fundamental, respectivamente. </w:t>
      </w:r>
    </w:p>
    <w:p w:rsidR="009A18A4" w:rsidRDefault="00537678" w:rsidP="00040B69">
      <w:pPr>
        <w:jc w:val="both"/>
      </w:pPr>
      <w:r>
        <w:rPr>
          <w:rFonts w:cstheme="minorHAnsi"/>
        </w:rPr>
        <w:t xml:space="preserve">Además de lo anterior, ante el incumplimiento de las infracciones referidas en el párrafo que antecede, este Instituto </w:t>
      </w:r>
      <w:r w:rsidRPr="00537678">
        <w:rPr>
          <w:rFonts w:cstheme="minorHAnsi"/>
        </w:rPr>
        <w:t>da</w:t>
      </w:r>
      <w:r>
        <w:rPr>
          <w:rFonts w:cstheme="minorHAnsi"/>
        </w:rPr>
        <w:t>rá</w:t>
      </w:r>
      <w:r w:rsidRPr="00537678">
        <w:rPr>
          <w:rFonts w:cstheme="minorHAnsi"/>
        </w:rPr>
        <w:t xml:space="preserve"> vista al órgano interno de control del sujeto obligado para que realice las acciones que conforme a derecho determine,  de conformidad con el artículo, 124, párrafo 1, de la Ley de Transparencia</w:t>
      </w:r>
      <w:r>
        <w:rPr>
          <w:rFonts w:cstheme="minorHAnsi"/>
        </w:rPr>
        <w:t>.</w:t>
      </w:r>
    </w:p>
    <w:sectPr w:rsidR="009A18A4" w:rsidSect="00682311">
      <w:headerReference w:type="default" r:id="rId18"/>
      <w:footerReference w:type="default" r:id="rId19"/>
      <w:pgSz w:w="12242" w:h="19278" w:code="5"/>
      <w:pgMar w:top="2977" w:right="1701" w:bottom="226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0B6" w:rsidRDefault="006B30B6" w:rsidP="00682311">
      <w:pPr>
        <w:spacing w:after="0" w:line="240" w:lineRule="auto"/>
      </w:pPr>
      <w:r>
        <w:separator/>
      </w:r>
    </w:p>
  </w:endnote>
  <w:endnote w:type="continuationSeparator" w:id="0">
    <w:p w:rsidR="006B30B6" w:rsidRDefault="006B30B6" w:rsidP="006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986991"/>
      <w:docPartObj>
        <w:docPartGallery w:val="Page Numbers (Bottom of Page)"/>
        <w:docPartUnique/>
      </w:docPartObj>
    </w:sdtPr>
    <w:sdtEndPr/>
    <w:sdtContent>
      <w:sdt>
        <w:sdtPr>
          <w:id w:val="-1769616900"/>
          <w:docPartObj>
            <w:docPartGallery w:val="Page Numbers (Top of Page)"/>
            <w:docPartUnique/>
          </w:docPartObj>
        </w:sdtPr>
        <w:sdtEndPr/>
        <w:sdtContent>
          <w:p w:rsidR="001C0CF1" w:rsidRDefault="001C0CF1">
            <w:pPr>
              <w:pStyle w:val="Piedepgina"/>
              <w:jc w:val="right"/>
            </w:pPr>
            <w:r w:rsidRPr="001C0CF1">
              <w:rPr>
                <w:sz w:val="20"/>
                <w:lang w:val="es-ES"/>
              </w:rPr>
              <w:t xml:space="preserve">Página </w:t>
            </w:r>
            <w:r w:rsidRPr="001C0CF1">
              <w:rPr>
                <w:b/>
                <w:bCs/>
                <w:szCs w:val="24"/>
              </w:rPr>
              <w:fldChar w:fldCharType="begin"/>
            </w:r>
            <w:r w:rsidRPr="001C0CF1">
              <w:rPr>
                <w:b/>
                <w:bCs/>
                <w:sz w:val="20"/>
              </w:rPr>
              <w:instrText>PAGE</w:instrText>
            </w:r>
            <w:r w:rsidRPr="001C0CF1">
              <w:rPr>
                <w:b/>
                <w:bCs/>
                <w:szCs w:val="24"/>
              </w:rPr>
              <w:fldChar w:fldCharType="separate"/>
            </w:r>
            <w:r w:rsidR="008F4AF5">
              <w:rPr>
                <w:b/>
                <w:bCs/>
                <w:noProof/>
                <w:sz w:val="20"/>
              </w:rPr>
              <w:t>10</w:t>
            </w:r>
            <w:r w:rsidRPr="001C0CF1">
              <w:rPr>
                <w:b/>
                <w:bCs/>
                <w:szCs w:val="24"/>
              </w:rPr>
              <w:fldChar w:fldCharType="end"/>
            </w:r>
            <w:r w:rsidRPr="001C0CF1">
              <w:rPr>
                <w:sz w:val="20"/>
                <w:lang w:val="es-ES"/>
              </w:rPr>
              <w:t xml:space="preserve"> de </w:t>
            </w:r>
            <w:r w:rsidRPr="001C0CF1">
              <w:rPr>
                <w:b/>
                <w:bCs/>
                <w:szCs w:val="24"/>
              </w:rPr>
              <w:fldChar w:fldCharType="begin"/>
            </w:r>
            <w:r w:rsidRPr="001C0CF1">
              <w:rPr>
                <w:b/>
                <w:bCs/>
                <w:sz w:val="20"/>
              </w:rPr>
              <w:instrText>NUMPAGES</w:instrText>
            </w:r>
            <w:r w:rsidRPr="001C0CF1">
              <w:rPr>
                <w:b/>
                <w:bCs/>
                <w:szCs w:val="24"/>
              </w:rPr>
              <w:fldChar w:fldCharType="separate"/>
            </w:r>
            <w:r w:rsidR="008F4AF5">
              <w:rPr>
                <w:b/>
                <w:bCs/>
                <w:noProof/>
                <w:sz w:val="20"/>
              </w:rPr>
              <w:t>13</w:t>
            </w:r>
            <w:r w:rsidRPr="001C0CF1">
              <w:rPr>
                <w:b/>
                <w:bCs/>
                <w:szCs w:val="24"/>
              </w:rPr>
              <w:fldChar w:fldCharType="end"/>
            </w:r>
          </w:p>
        </w:sdtContent>
      </w:sdt>
    </w:sdtContent>
  </w:sdt>
  <w:p w:rsidR="001C0CF1" w:rsidRDefault="001C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0B6" w:rsidRDefault="006B30B6" w:rsidP="00682311">
      <w:pPr>
        <w:spacing w:after="0" w:line="240" w:lineRule="auto"/>
      </w:pPr>
      <w:r>
        <w:separator/>
      </w:r>
    </w:p>
  </w:footnote>
  <w:footnote w:type="continuationSeparator" w:id="0">
    <w:p w:rsidR="006B30B6" w:rsidRDefault="006B30B6" w:rsidP="00682311">
      <w:pPr>
        <w:spacing w:after="0" w:line="240" w:lineRule="auto"/>
      </w:pPr>
      <w:r>
        <w:continuationSeparator/>
      </w:r>
    </w:p>
  </w:footnote>
  <w:footnote w:id="1">
    <w:p w:rsidR="00020A1D" w:rsidRPr="00020A1D" w:rsidRDefault="00020A1D" w:rsidP="00020A1D">
      <w:pPr>
        <w:shd w:val="clear" w:color="auto" w:fill="FFFFFF"/>
        <w:jc w:val="both"/>
        <w:rPr>
          <w:rFonts w:ascii="Arial" w:eastAsia="Times New Roman" w:hAnsi="Arial" w:cs="Arial"/>
          <w:color w:val="2F2F2F"/>
          <w:sz w:val="18"/>
          <w:szCs w:val="18"/>
          <w:lang w:eastAsia="es-MX"/>
        </w:rPr>
      </w:pPr>
      <w:r w:rsidRPr="004D4CB3">
        <w:rPr>
          <w:rStyle w:val="Refdenotaalpie"/>
        </w:rPr>
        <w:footnoteRef/>
      </w:r>
      <w:r w:rsidRPr="004D4CB3">
        <w:t xml:space="preserve"> </w:t>
      </w:r>
      <w:r w:rsidRPr="004D4CB3">
        <w:rPr>
          <w:rFonts w:ascii="Arial" w:eastAsia="Times New Roman" w:hAnsi="Arial" w:cs="Arial"/>
          <w:color w:val="2F2F2F"/>
          <w:sz w:val="18"/>
          <w:szCs w:val="18"/>
          <w:lang w:eastAsia="es-MX"/>
        </w:rPr>
        <w:t>http://inicio.inai.org.mx/AcuerdosDelPleno/ACT-PUB-16-04-2018.08.pdf</w:t>
      </w:r>
    </w:p>
    <w:p w:rsidR="00020A1D" w:rsidRPr="00020A1D" w:rsidRDefault="00020A1D">
      <w:pPr>
        <w:pStyle w:val="Textonotapie"/>
        <w:rPr>
          <w:lang w:val="es-MX"/>
        </w:rPr>
      </w:pPr>
    </w:p>
  </w:footnote>
  <w:footnote w:id="2">
    <w:p w:rsidR="001969B4" w:rsidRPr="00B30538" w:rsidRDefault="001969B4" w:rsidP="001969B4">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3">
    <w:p w:rsidR="00E33086" w:rsidRPr="00020A1D" w:rsidRDefault="00E33086" w:rsidP="00E33086">
      <w:pPr>
        <w:shd w:val="clear" w:color="auto" w:fill="FFFFFF"/>
        <w:jc w:val="both"/>
        <w:rPr>
          <w:rFonts w:ascii="Arial" w:eastAsia="Times New Roman" w:hAnsi="Arial" w:cs="Arial"/>
          <w:color w:val="2F2F2F"/>
          <w:sz w:val="18"/>
          <w:szCs w:val="18"/>
          <w:lang w:eastAsia="es-MX"/>
        </w:rPr>
      </w:pPr>
      <w:r w:rsidRPr="004D4CB3">
        <w:rPr>
          <w:rStyle w:val="Refdenotaalpie"/>
        </w:rPr>
        <w:footnoteRef/>
      </w:r>
      <w:r w:rsidRPr="004D4CB3">
        <w:t xml:space="preserve"> </w:t>
      </w:r>
      <w:r w:rsidRPr="004D4CB3">
        <w:rPr>
          <w:rFonts w:ascii="Arial" w:eastAsia="Times New Roman" w:hAnsi="Arial" w:cs="Arial"/>
          <w:color w:val="2F2F2F"/>
          <w:sz w:val="18"/>
          <w:szCs w:val="18"/>
          <w:lang w:eastAsia="es-MX"/>
        </w:rPr>
        <w:t>http://inicio.inai.org.mx/AcuerdosDelPleno/ACT-PUB-16-04-2018.08.pdf</w:t>
      </w:r>
    </w:p>
    <w:p w:rsidR="00E33086" w:rsidRPr="00020A1D" w:rsidRDefault="00E33086" w:rsidP="00E33086">
      <w:pPr>
        <w:pStyle w:val="Textonotapie"/>
        <w:rPr>
          <w:lang w:val="es-MX"/>
        </w:rPr>
      </w:pPr>
    </w:p>
  </w:footnote>
  <w:footnote w:id="4">
    <w:p w:rsidR="00215DFF" w:rsidRPr="00B30538" w:rsidRDefault="00215DFF" w:rsidP="00215DFF">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5">
    <w:p w:rsidR="00215DFF" w:rsidRPr="00215DFF" w:rsidRDefault="00215DFF" w:rsidP="006E74CC">
      <w:pPr>
        <w:pStyle w:val="Textonotapie"/>
        <w:jc w:val="both"/>
        <w:rPr>
          <w:rFonts w:asciiTheme="minorHAnsi" w:hAnsiTheme="minorHAnsi" w:cstheme="minorHAnsi"/>
        </w:rPr>
      </w:pPr>
      <w:r w:rsidRPr="00215DFF">
        <w:rPr>
          <w:rStyle w:val="Refdenotaalpie"/>
          <w:rFonts w:asciiTheme="minorHAnsi" w:hAnsiTheme="minorHAnsi" w:cstheme="minorHAnsi"/>
        </w:rPr>
        <w:footnoteRef/>
      </w:r>
      <w:r w:rsidRPr="00215DFF">
        <w:rPr>
          <w:rFonts w:asciiTheme="minorHAnsi" w:hAnsiTheme="minorHAnsi" w:cstheme="minorHAnsi"/>
        </w:rPr>
        <w:t xml:space="preserve"> La memoria técnica de verificación (MTV) es elaborada por el</w:t>
      </w:r>
      <w:r w:rsidR="0081242E">
        <w:rPr>
          <w:rFonts w:asciiTheme="minorHAnsi" w:hAnsiTheme="minorHAnsi" w:cstheme="minorHAnsi"/>
        </w:rPr>
        <w:t xml:space="preserve"> Instituto Nacional de </w:t>
      </w:r>
      <w:r w:rsidR="00D25BBF">
        <w:rPr>
          <w:rFonts w:asciiTheme="minorHAnsi" w:hAnsiTheme="minorHAnsi" w:cstheme="minorHAnsi"/>
        </w:rPr>
        <w:t xml:space="preserve">Transparencia, </w:t>
      </w:r>
      <w:r w:rsidR="0081242E">
        <w:rPr>
          <w:rFonts w:asciiTheme="minorHAnsi" w:hAnsiTheme="minorHAnsi" w:cstheme="minorHAnsi"/>
        </w:rPr>
        <w:t>Acceso a la Informaci</w:t>
      </w:r>
      <w:r w:rsidR="00D25BBF">
        <w:rPr>
          <w:rFonts w:asciiTheme="minorHAnsi" w:hAnsiTheme="minorHAnsi" w:cstheme="minorHAnsi"/>
        </w:rPr>
        <w:t>ón y Protección de Datos Personales</w:t>
      </w:r>
      <w:r w:rsidR="0081242E">
        <w:rPr>
          <w:rFonts w:asciiTheme="minorHAnsi" w:hAnsiTheme="minorHAnsi" w:cstheme="minorHAnsi"/>
        </w:rPr>
        <w:t>, en base a la Ley General.</w:t>
      </w:r>
    </w:p>
  </w:footnote>
  <w:footnote w:id="6">
    <w:p w:rsidR="00C777B4" w:rsidRPr="006A5187" w:rsidRDefault="00C777B4" w:rsidP="00C777B4">
      <w:pPr>
        <w:pStyle w:val="Textonotapie"/>
        <w:jc w:val="both"/>
      </w:pPr>
      <w:r>
        <w:rPr>
          <w:rStyle w:val="Refdenotaalpie"/>
        </w:rPr>
        <w:footnoteRef/>
      </w:r>
      <w:r>
        <w:t xml:space="preserve"> </w:t>
      </w:r>
      <w:r>
        <w:rPr>
          <w:rFonts w:asciiTheme="minorHAnsi" w:hAnsiTheme="minorHAnsi" w:cstheme="minorHAnsi"/>
          <w:sz w:val="14"/>
        </w:rPr>
        <w:t>La ponderación de los c</w:t>
      </w:r>
      <w:r w:rsidRPr="006A5187">
        <w:rPr>
          <w:rFonts w:asciiTheme="minorHAnsi" w:hAnsiTheme="minorHAnsi" w:cstheme="minorHAnsi"/>
          <w:sz w:val="14"/>
        </w:rPr>
        <w:t xml:space="preserve">riterios </w:t>
      </w:r>
      <w:r>
        <w:rPr>
          <w:rFonts w:asciiTheme="minorHAnsi" w:hAnsiTheme="minorHAnsi" w:cstheme="minorHAnsi"/>
          <w:sz w:val="14"/>
        </w:rPr>
        <w:t>s</w:t>
      </w:r>
      <w:r w:rsidRPr="006A5187">
        <w:rPr>
          <w:rFonts w:asciiTheme="minorHAnsi" w:hAnsiTheme="minorHAnsi" w:cstheme="minorHAnsi"/>
          <w:sz w:val="14"/>
        </w:rPr>
        <w:t xml:space="preserve">ustantivos y </w:t>
      </w:r>
      <w:r>
        <w:rPr>
          <w:rFonts w:asciiTheme="minorHAnsi" w:hAnsiTheme="minorHAnsi" w:cstheme="minorHAnsi"/>
          <w:sz w:val="14"/>
        </w:rPr>
        <w:t>a</w:t>
      </w:r>
      <w:r w:rsidRPr="006A5187">
        <w:rPr>
          <w:rFonts w:asciiTheme="minorHAnsi" w:hAnsiTheme="minorHAnsi" w:cstheme="minorHAnsi"/>
          <w:sz w:val="14"/>
        </w:rPr>
        <w:t>djetivos</w:t>
      </w:r>
      <w:r>
        <w:rPr>
          <w:rFonts w:asciiTheme="minorHAnsi" w:hAnsiTheme="minorHAnsi" w:cstheme="minorHAnsi"/>
          <w:sz w:val="14"/>
        </w:rPr>
        <w:t>, así como el cálculo de las calificaciones se toma como base lo establecido</w:t>
      </w:r>
      <w:r w:rsidRPr="006A5187">
        <w:rPr>
          <w:rFonts w:asciiTheme="minorHAnsi" w:hAnsiTheme="minorHAnsi" w:cstheme="minorHAnsi"/>
          <w:sz w:val="14"/>
        </w:rPr>
        <w:t xml:space="preserve"> en el Manual de </w:t>
      </w:r>
      <w:r>
        <w:rPr>
          <w:rFonts w:asciiTheme="minorHAnsi" w:hAnsiTheme="minorHAnsi" w:cstheme="minorHAnsi"/>
          <w:sz w:val="14"/>
        </w:rPr>
        <w:t>Procedimientos y</w:t>
      </w:r>
      <w:r w:rsidRPr="006A5187">
        <w:rPr>
          <w:rFonts w:asciiTheme="minorHAnsi" w:hAnsiTheme="minorHAnsi" w:cstheme="minorHAnsi"/>
          <w:sz w:val="14"/>
        </w:rPr>
        <w:t xml:space="preserve"> Metodología </w:t>
      </w:r>
      <w:r>
        <w:rPr>
          <w:rFonts w:asciiTheme="minorHAnsi" w:hAnsiTheme="minorHAnsi" w:cstheme="minorHAnsi"/>
          <w:sz w:val="14"/>
        </w:rPr>
        <w:t>d</w:t>
      </w:r>
      <w:r w:rsidRPr="006A5187">
        <w:rPr>
          <w:rFonts w:asciiTheme="minorHAnsi" w:hAnsiTheme="minorHAnsi" w:cstheme="minorHAnsi"/>
          <w:sz w:val="14"/>
        </w:rPr>
        <w:t xml:space="preserve">e Evaluación </w:t>
      </w:r>
      <w:r>
        <w:rPr>
          <w:rFonts w:asciiTheme="minorHAnsi" w:hAnsiTheme="minorHAnsi" w:cstheme="minorHAnsi"/>
          <w:sz w:val="14"/>
        </w:rPr>
        <w:t>p</w:t>
      </w:r>
      <w:r w:rsidRPr="006A5187">
        <w:rPr>
          <w:rFonts w:asciiTheme="minorHAnsi" w:hAnsiTheme="minorHAnsi" w:cstheme="minorHAnsi"/>
          <w:sz w:val="14"/>
        </w:rPr>
        <w:t xml:space="preserve">ara Verificar </w:t>
      </w:r>
      <w:r>
        <w:rPr>
          <w:rFonts w:asciiTheme="minorHAnsi" w:hAnsiTheme="minorHAnsi" w:cstheme="minorHAnsi"/>
          <w:sz w:val="14"/>
        </w:rPr>
        <w:t>e</w:t>
      </w:r>
      <w:r w:rsidRPr="006A5187">
        <w:rPr>
          <w:rFonts w:asciiTheme="minorHAnsi" w:hAnsiTheme="minorHAnsi" w:cstheme="minorHAnsi"/>
          <w:sz w:val="14"/>
        </w:rPr>
        <w:t xml:space="preserve">l Cumplimiento </w:t>
      </w:r>
      <w:r>
        <w:rPr>
          <w:rFonts w:asciiTheme="minorHAnsi" w:hAnsiTheme="minorHAnsi" w:cstheme="minorHAnsi"/>
          <w:sz w:val="14"/>
        </w:rPr>
        <w:t>d</w:t>
      </w:r>
      <w:r w:rsidRPr="006A5187">
        <w:rPr>
          <w:rFonts w:asciiTheme="minorHAnsi" w:hAnsiTheme="minorHAnsi" w:cstheme="minorHAnsi"/>
          <w:sz w:val="14"/>
        </w:rPr>
        <w:t xml:space="preserve">e </w:t>
      </w:r>
      <w:r>
        <w:rPr>
          <w:rFonts w:asciiTheme="minorHAnsi" w:hAnsiTheme="minorHAnsi" w:cstheme="minorHAnsi"/>
          <w:sz w:val="14"/>
        </w:rPr>
        <w:t>l</w:t>
      </w:r>
      <w:r w:rsidRPr="006A5187">
        <w:rPr>
          <w:rFonts w:asciiTheme="minorHAnsi" w:hAnsiTheme="minorHAnsi" w:cstheme="minorHAnsi"/>
          <w:sz w:val="14"/>
        </w:rPr>
        <w:t xml:space="preserve">as Obligaciones </w:t>
      </w:r>
      <w:r>
        <w:rPr>
          <w:rFonts w:asciiTheme="minorHAnsi" w:hAnsiTheme="minorHAnsi" w:cstheme="minorHAnsi"/>
          <w:sz w:val="14"/>
        </w:rPr>
        <w:t>d</w:t>
      </w:r>
      <w:r w:rsidRPr="006A5187">
        <w:rPr>
          <w:rFonts w:asciiTheme="minorHAnsi" w:hAnsiTheme="minorHAnsi" w:cstheme="minorHAnsi"/>
          <w:sz w:val="14"/>
        </w:rPr>
        <w:t xml:space="preserve">e Transparencia </w:t>
      </w:r>
      <w:r>
        <w:rPr>
          <w:rFonts w:asciiTheme="minorHAnsi" w:hAnsiTheme="minorHAnsi" w:cstheme="minorHAnsi"/>
          <w:sz w:val="14"/>
        </w:rPr>
        <w:t>q</w:t>
      </w:r>
      <w:r w:rsidRPr="006A5187">
        <w:rPr>
          <w:rFonts w:asciiTheme="minorHAnsi" w:hAnsiTheme="minorHAnsi" w:cstheme="minorHAnsi"/>
          <w:sz w:val="14"/>
        </w:rPr>
        <w:t xml:space="preserve">ue </w:t>
      </w:r>
      <w:r>
        <w:rPr>
          <w:rFonts w:asciiTheme="minorHAnsi" w:hAnsiTheme="minorHAnsi" w:cstheme="minorHAnsi"/>
          <w:sz w:val="14"/>
        </w:rPr>
        <w:t>l</w:t>
      </w:r>
      <w:r w:rsidRPr="006A5187">
        <w:rPr>
          <w:rFonts w:asciiTheme="minorHAnsi" w:hAnsiTheme="minorHAnsi" w:cstheme="minorHAnsi"/>
          <w:sz w:val="14"/>
        </w:rPr>
        <w:t>o</w:t>
      </w:r>
      <w:r>
        <w:rPr>
          <w:rFonts w:asciiTheme="minorHAnsi" w:hAnsiTheme="minorHAnsi" w:cstheme="minorHAnsi"/>
          <w:sz w:val="14"/>
        </w:rPr>
        <w:t>s</w:t>
      </w:r>
      <w:r w:rsidRPr="006A5187">
        <w:rPr>
          <w:rFonts w:asciiTheme="minorHAnsi" w:hAnsiTheme="minorHAnsi" w:cstheme="minorHAnsi"/>
          <w:sz w:val="14"/>
        </w:rPr>
        <w:t xml:space="preserve"> Sujetos Obligados </w:t>
      </w:r>
      <w:r>
        <w:rPr>
          <w:rFonts w:asciiTheme="minorHAnsi" w:hAnsiTheme="minorHAnsi" w:cstheme="minorHAnsi"/>
          <w:sz w:val="14"/>
        </w:rPr>
        <w:t>e</w:t>
      </w:r>
      <w:r w:rsidRPr="006A5187">
        <w:rPr>
          <w:rFonts w:asciiTheme="minorHAnsi" w:hAnsiTheme="minorHAnsi" w:cstheme="minorHAnsi"/>
          <w:sz w:val="14"/>
        </w:rPr>
        <w:t xml:space="preserve">n </w:t>
      </w:r>
      <w:r>
        <w:rPr>
          <w:rFonts w:asciiTheme="minorHAnsi" w:hAnsiTheme="minorHAnsi" w:cstheme="minorHAnsi"/>
          <w:sz w:val="14"/>
        </w:rPr>
        <w:t>e</w:t>
      </w:r>
      <w:r w:rsidRPr="006A5187">
        <w:rPr>
          <w:rFonts w:asciiTheme="minorHAnsi" w:hAnsiTheme="minorHAnsi" w:cstheme="minorHAnsi"/>
          <w:sz w:val="14"/>
        </w:rPr>
        <w:t>l Ámbito</w:t>
      </w:r>
      <w:r>
        <w:rPr>
          <w:rFonts w:asciiTheme="minorHAnsi" w:hAnsiTheme="minorHAnsi" w:cstheme="minorHAnsi"/>
          <w:sz w:val="14"/>
        </w:rPr>
        <w:t xml:space="preserve"> Federal deben publicar en los Portales de I</w:t>
      </w:r>
      <w:r w:rsidRPr="006A5187">
        <w:rPr>
          <w:rFonts w:asciiTheme="minorHAnsi" w:hAnsiTheme="minorHAnsi" w:cstheme="minorHAnsi"/>
          <w:sz w:val="14"/>
        </w:rPr>
        <w:t>nternet y en la Plataforma Nacional de Transparencia, emitido por el 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D0" w:rsidRDefault="00D21ED0" w:rsidP="00D21ED0">
    <w:pPr>
      <w:pStyle w:val="Encabezado"/>
      <w:jc w:val="right"/>
    </w:pPr>
    <w:r w:rsidRPr="0074585C">
      <w:rPr>
        <w:b/>
        <w:noProof/>
        <w:color w:val="215868" w:themeColor="accent5" w:themeShade="80"/>
        <w:lang w:eastAsia="es-MX"/>
      </w:rPr>
      <w:drawing>
        <wp:anchor distT="0" distB="0" distL="114300" distR="114300" simplePos="0" relativeHeight="251660800" behindDoc="1" locked="0" layoutInCell="1" allowOverlap="1" wp14:anchorId="6AC51363" wp14:editId="25859CE0">
          <wp:simplePos x="0" y="0"/>
          <wp:positionH relativeFrom="column">
            <wp:posOffset>-1083310</wp:posOffset>
          </wp:positionH>
          <wp:positionV relativeFrom="paragraph">
            <wp:posOffset>-442290</wp:posOffset>
          </wp:positionV>
          <wp:extent cx="7771130" cy="12239625"/>
          <wp:effectExtent l="0" t="0" r="1270" b="9525"/>
          <wp:wrapNone/>
          <wp:docPr id="1" name="0 Imagen" descr="plantilla_oficio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oficio_2016-01.png"/>
                  <pic:cNvPicPr/>
                </pic:nvPicPr>
                <pic:blipFill>
                  <a:blip r:embed="rId1"/>
                  <a:stretch>
                    <a:fillRect/>
                  </a:stretch>
                </pic:blipFill>
                <pic:spPr>
                  <a:xfrm>
                    <a:off x="0" y="0"/>
                    <a:ext cx="7771130" cy="12239625"/>
                  </a:xfrm>
                  <a:prstGeom prst="rect">
                    <a:avLst/>
                  </a:prstGeom>
                </pic:spPr>
              </pic:pic>
            </a:graphicData>
          </a:graphic>
        </wp:anchor>
      </w:drawing>
    </w:r>
    <w:r w:rsidR="005D00AE">
      <w:rPr>
        <w:b/>
        <w:color w:val="215868" w:themeColor="accent5" w:themeShade="80"/>
      </w:rPr>
      <w:t>ANEXO DEL AGP-ITEI/</w:t>
    </w:r>
    <w:r w:rsidR="000F584F">
      <w:rPr>
        <w:b/>
        <w:color w:val="215868" w:themeColor="accent5" w:themeShade="80"/>
      </w:rPr>
      <w:t>008</w:t>
    </w:r>
    <w:r w:rsidR="0074585C" w:rsidRPr="0074585C">
      <w:rPr>
        <w:b/>
        <w:color w:val="215868" w:themeColor="accent5" w:themeShade="80"/>
      </w:rPr>
      <w:t>/20</w:t>
    </w:r>
    <w:r w:rsidR="005D00AE">
      <w:rPr>
        <w:b/>
        <w:color w:val="215868" w:themeColor="accent5" w:themeShade="80"/>
      </w:rPr>
      <w:t>20</w:t>
    </w:r>
  </w:p>
  <w:p w:rsidR="00D21ED0" w:rsidRDefault="00D21ED0" w:rsidP="00D21ED0">
    <w:pPr>
      <w:pStyle w:val="Encabezado"/>
      <w:jc w:val="right"/>
    </w:pPr>
  </w:p>
  <w:p w:rsidR="00D21ED0" w:rsidRDefault="00D21ED0" w:rsidP="00D21ED0">
    <w:pPr>
      <w:pStyle w:val="Encabezado"/>
      <w:jc w:val="right"/>
      <w:rPr>
        <w:b/>
        <w:color w:val="31849B" w:themeColor="accent5" w:themeShade="BF"/>
      </w:rPr>
    </w:pPr>
  </w:p>
  <w:p w:rsidR="00682311" w:rsidRPr="00D21ED0" w:rsidRDefault="00273686" w:rsidP="00D21ED0">
    <w:pPr>
      <w:pStyle w:val="Encabezado"/>
      <w:jc w:val="right"/>
      <w:rPr>
        <w:b/>
        <w:color w:val="215868" w:themeColor="accent5" w:themeShade="80"/>
      </w:rPr>
    </w:pPr>
    <w:r>
      <w:rPr>
        <w:b/>
        <w:color w:val="215868" w:themeColor="accent5" w:themeShade="80"/>
      </w:rPr>
      <w:t>COORDINACIÓN GENERAL DE</w:t>
    </w:r>
    <w:r w:rsidR="00D21ED0" w:rsidRPr="00D21ED0">
      <w:rPr>
        <w:b/>
        <w:color w:val="215868" w:themeColor="accent5" w:themeShade="80"/>
      </w:rPr>
      <w:t xml:space="preserve"> EVALUACIÓN</w:t>
    </w:r>
    <w:r>
      <w:rPr>
        <w:b/>
        <w:color w:val="215868" w:themeColor="accent5" w:themeShade="80"/>
      </w:rPr>
      <w:t xml:space="preserve"> Y GESTIÓN DOCUMENTAL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F13"/>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04B07BE5"/>
    <w:multiLevelType w:val="hybridMultilevel"/>
    <w:tmpl w:val="F5EE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67824"/>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1C940EF4"/>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560"/>
    <w:multiLevelType w:val="hybridMultilevel"/>
    <w:tmpl w:val="F1A271BE"/>
    <w:lvl w:ilvl="0" w:tplc="8F2855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A292891"/>
    <w:multiLevelType w:val="hybridMultilevel"/>
    <w:tmpl w:val="A4EECE48"/>
    <w:lvl w:ilvl="0" w:tplc="A2B0DE2C">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6" w15:restartNumberingAfterBreak="0">
    <w:nsid w:val="3F2F36BA"/>
    <w:multiLevelType w:val="hybridMultilevel"/>
    <w:tmpl w:val="E1C834CA"/>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6AA1DB7"/>
    <w:multiLevelType w:val="hybridMultilevel"/>
    <w:tmpl w:val="051EA876"/>
    <w:lvl w:ilvl="0" w:tplc="77C2EDB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91E5436"/>
    <w:multiLevelType w:val="multilevel"/>
    <w:tmpl w:val="CFD823A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D657BF"/>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9F45DB"/>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1" w15:restartNumberingAfterBreak="0">
    <w:nsid w:val="71BB650A"/>
    <w:multiLevelType w:val="hybridMultilevel"/>
    <w:tmpl w:val="18E8BCC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3C33EE"/>
    <w:multiLevelType w:val="hybridMultilevel"/>
    <w:tmpl w:val="EFE4B168"/>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D736C"/>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76E913E2"/>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79C957BD"/>
    <w:multiLevelType w:val="hybridMultilevel"/>
    <w:tmpl w:val="F43C4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6"/>
  </w:num>
  <w:num w:numId="5">
    <w:abstractNumId w:val="5"/>
  </w:num>
  <w:num w:numId="6">
    <w:abstractNumId w:val="11"/>
  </w:num>
  <w:num w:numId="7">
    <w:abstractNumId w:val="7"/>
  </w:num>
  <w:num w:numId="8">
    <w:abstractNumId w:val="4"/>
  </w:num>
  <w:num w:numId="9">
    <w:abstractNumId w:val="13"/>
  </w:num>
  <w:num w:numId="10">
    <w:abstractNumId w:val="8"/>
  </w:num>
  <w:num w:numId="11">
    <w:abstractNumId w:val="0"/>
  </w:num>
  <w:num w:numId="12">
    <w:abstractNumId w:val="14"/>
  </w:num>
  <w:num w:numId="13">
    <w:abstractNumId w:val="2"/>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11"/>
    <w:rsid w:val="000058D5"/>
    <w:rsid w:val="00020A1D"/>
    <w:rsid w:val="000245E3"/>
    <w:rsid w:val="00025A0C"/>
    <w:rsid w:val="00040B69"/>
    <w:rsid w:val="00056981"/>
    <w:rsid w:val="000643AB"/>
    <w:rsid w:val="00066C3A"/>
    <w:rsid w:val="00067701"/>
    <w:rsid w:val="00071E3C"/>
    <w:rsid w:val="00080789"/>
    <w:rsid w:val="00087281"/>
    <w:rsid w:val="000C12AB"/>
    <w:rsid w:val="000D4AE4"/>
    <w:rsid w:val="000F584F"/>
    <w:rsid w:val="00100A7A"/>
    <w:rsid w:val="00106DA8"/>
    <w:rsid w:val="00113B0D"/>
    <w:rsid w:val="00115344"/>
    <w:rsid w:val="00123424"/>
    <w:rsid w:val="0016563B"/>
    <w:rsid w:val="0018130D"/>
    <w:rsid w:val="00186CB4"/>
    <w:rsid w:val="00191957"/>
    <w:rsid w:val="001969B4"/>
    <w:rsid w:val="001A16C0"/>
    <w:rsid w:val="001B6AC2"/>
    <w:rsid w:val="001C0CF1"/>
    <w:rsid w:val="001E5AC1"/>
    <w:rsid w:val="002009B2"/>
    <w:rsid w:val="00211C97"/>
    <w:rsid w:val="00215DFF"/>
    <w:rsid w:val="00220F30"/>
    <w:rsid w:val="002218AC"/>
    <w:rsid w:val="00233CA3"/>
    <w:rsid w:val="00265361"/>
    <w:rsid w:val="00273686"/>
    <w:rsid w:val="002B4D07"/>
    <w:rsid w:val="00342613"/>
    <w:rsid w:val="0035707C"/>
    <w:rsid w:val="003670D9"/>
    <w:rsid w:val="0038144B"/>
    <w:rsid w:val="003909A5"/>
    <w:rsid w:val="00395B00"/>
    <w:rsid w:val="003B4422"/>
    <w:rsid w:val="003B4800"/>
    <w:rsid w:val="003B4F0F"/>
    <w:rsid w:val="003C1AEE"/>
    <w:rsid w:val="003C54CA"/>
    <w:rsid w:val="00402150"/>
    <w:rsid w:val="00430B70"/>
    <w:rsid w:val="004774A5"/>
    <w:rsid w:val="004D25C9"/>
    <w:rsid w:val="004D4CB3"/>
    <w:rsid w:val="004E5F26"/>
    <w:rsid w:val="00501B6E"/>
    <w:rsid w:val="00534651"/>
    <w:rsid w:val="00537678"/>
    <w:rsid w:val="005432C0"/>
    <w:rsid w:val="005521F9"/>
    <w:rsid w:val="005623F7"/>
    <w:rsid w:val="00585FB4"/>
    <w:rsid w:val="0058654C"/>
    <w:rsid w:val="00595ED9"/>
    <w:rsid w:val="005C7792"/>
    <w:rsid w:val="005D00AE"/>
    <w:rsid w:val="005D1A56"/>
    <w:rsid w:val="005D4514"/>
    <w:rsid w:val="005E48DF"/>
    <w:rsid w:val="00603150"/>
    <w:rsid w:val="00611699"/>
    <w:rsid w:val="0061458F"/>
    <w:rsid w:val="00615147"/>
    <w:rsid w:val="00616DBD"/>
    <w:rsid w:val="006177BE"/>
    <w:rsid w:val="00661433"/>
    <w:rsid w:val="00682311"/>
    <w:rsid w:val="00686514"/>
    <w:rsid w:val="0069429D"/>
    <w:rsid w:val="006B0C90"/>
    <w:rsid w:val="006B30B6"/>
    <w:rsid w:val="006C4592"/>
    <w:rsid w:val="006D48D8"/>
    <w:rsid w:val="006E74CC"/>
    <w:rsid w:val="00703276"/>
    <w:rsid w:val="00704FA4"/>
    <w:rsid w:val="00721394"/>
    <w:rsid w:val="00726705"/>
    <w:rsid w:val="00732FDD"/>
    <w:rsid w:val="00736313"/>
    <w:rsid w:val="0074579E"/>
    <w:rsid w:val="0074585C"/>
    <w:rsid w:val="007553F3"/>
    <w:rsid w:val="007609B4"/>
    <w:rsid w:val="007673E8"/>
    <w:rsid w:val="007674F6"/>
    <w:rsid w:val="007745A1"/>
    <w:rsid w:val="00781594"/>
    <w:rsid w:val="00787C90"/>
    <w:rsid w:val="007A2231"/>
    <w:rsid w:val="007C0F52"/>
    <w:rsid w:val="007C2E01"/>
    <w:rsid w:val="007C6474"/>
    <w:rsid w:val="007F56D3"/>
    <w:rsid w:val="0080435B"/>
    <w:rsid w:val="00805835"/>
    <w:rsid w:val="008104A8"/>
    <w:rsid w:val="0081242E"/>
    <w:rsid w:val="00825F03"/>
    <w:rsid w:val="0084024A"/>
    <w:rsid w:val="00886071"/>
    <w:rsid w:val="00893F1D"/>
    <w:rsid w:val="008A642A"/>
    <w:rsid w:val="008B658C"/>
    <w:rsid w:val="008F0A26"/>
    <w:rsid w:val="008F4AF5"/>
    <w:rsid w:val="008F7D24"/>
    <w:rsid w:val="0091669C"/>
    <w:rsid w:val="009628CE"/>
    <w:rsid w:val="00967E0C"/>
    <w:rsid w:val="009753B3"/>
    <w:rsid w:val="009837E3"/>
    <w:rsid w:val="00984357"/>
    <w:rsid w:val="009A18A4"/>
    <w:rsid w:val="009A705B"/>
    <w:rsid w:val="009B7793"/>
    <w:rsid w:val="009E2007"/>
    <w:rsid w:val="009E563E"/>
    <w:rsid w:val="009F659C"/>
    <w:rsid w:val="00A04118"/>
    <w:rsid w:val="00A30843"/>
    <w:rsid w:val="00A31BBD"/>
    <w:rsid w:val="00A64DA2"/>
    <w:rsid w:val="00A83D9F"/>
    <w:rsid w:val="00A90569"/>
    <w:rsid w:val="00AA601F"/>
    <w:rsid w:val="00AA7161"/>
    <w:rsid w:val="00AC1C95"/>
    <w:rsid w:val="00B30538"/>
    <w:rsid w:val="00B62272"/>
    <w:rsid w:val="00B70CED"/>
    <w:rsid w:val="00B721D1"/>
    <w:rsid w:val="00B91457"/>
    <w:rsid w:val="00B9531A"/>
    <w:rsid w:val="00BE2DF2"/>
    <w:rsid w:val="00BF2707"/>
    <w:rsid w:val="00BF5428"/>
    <w:rsid w:val="00C312E0"/>
    <w:rsid w:val="00C367A1"/>
    <w:rsid w:val="00C43C4F"/>
    <w:rsid w:val="00C641C3"/>
    <w:rsid w:val="00C74F57"/>
    <w:rsid w:val="00C777B4"/>
    <w:rsid w:val="00C80589"/>
    <w:rsid w:val="00C9664C"/>
    <w:rsid w:val="00CA16FF"/>
    <w:rsid w:val="00CB3460"/>
    <w:rsid w:val="00CB71EC"/>
    <w:rsid w:val="00CB74E5"/>
    <w:rsid w:val="00CE21B9"/>
    <w:rsid w:val="00CF0842"/>
    <w:rsid w:val="00D04AC9"/>
    <w:rsid w:val="00D10839"/>
    <w:rsid w:val="00D11CEE"/>
    <w:rsid w:val="00D15B84"/>
    <w:rsid w:val="00D21B2B"/>
    <w:rsid w:val="00D21ED0"/>
    <w:rsid w:val="00D25BBF"/>
    <w:rsid w:val="00D74D57"/>
    <w:rsid w:val="00D85EF4"/>
    <w:rsid w:val="00D93AE6"/>
    <w:rsid w:val="00DB0A5B"/>
    <w:rsid w:val="00DF451D"/>
    <w:rsid w:val="00E33086"/>
    <w:rsid w:val="00E40AAD"/>
    <w:rsid w:val="00E92E78"/>
    <w:rsid w:val="00E95BC3"/>
    <w:rsid w:val="00EB2708"/>
    <w:rsid w:val="00F2318B"/>
    <w:rsid w:val="00F32DC4"/>
    <w:rsid w:val="00F400FF"/>
    <w:rsid w:val="00F56E35"/>
    <w:rsid w:val="00F65429"/>
    <w:rsid w:val="00F67D16"/>
    <w:rsid w:val="00F732E8"/>
    <w:rsid w:val="00FC2288"/>
    <w:rsid w:val="00FD4B1B"/>
    <w:rsid w:val="00FE7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D3DD"/>
  <w15:docId w15:val="{4EDBCF7F-0C0D-467C-9FA6-D0FB0D0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6C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311"/>
    <w:rPr>
      <w:lang w:val="es-MX"/>
    </w:rPr>
  </w:style>
  <w:style w:type="paragraph" w:styleId="Piedepgina">
    <w:name w:val="footer"/>
    <w:basedOn w:val="Normal"/>
    <w:link w:val="PiedepginaCar"/>
    <w:uiPriority w:val="99"/>
    <w:unhideWhenUsed/>
    <w:rsid w:val="0068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311"/>
    <w:rPr>
      <w:lang w:val="es-MX"/>
    </w:rPr>
  </w:style>
  <w:style w:type="paragraph" w:styleId="Textodeglobo">
    <w:name w:val="Balloon Text"/>
    <w:basedOn w:val="Normal"/>
    <w:link w:val="TextodegloboCar"/>
    <w:uiPriority w:val="99"/>
    <w:semiHidden/>
    <w:unhideWhenUsed/>
    <w:rsid w:val="0068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311"/>
    <w:rPr>
      <w:rFonts w:ascii="Tahoma" w:hAnsi="Tahoma" w:cs="Tahoma"/>
      <w:sz w:val="16"/>
      <w:szCs w:val="16"/>
      <w:lang w:val="es-MX"/>
    </w:rPr>
  </w:style>
  <w:style w:type="paragraph" w:customStyle="1" w:styleId="Estilo">
    <w:name w:val="Estilo"/>
    <w:basedOn w:val="Normal"/>
    <w:link w:val="EstiloCar"/>
    <w:rsid w:val="00C74F57"/>
    <w:pPr>
      <w:spacing w:after="0" w:line="240" w:lineRule="auto"/>
      <w:jc w:val="both"/>
    </w:pPr>
    <w:rPr>
      <w:rFonts w:ascii="Arial" w:eastAsia="Calibri" w:hAnsi="Arial" w:cs="Arial"/>
      <w:sz w:val="24"/>
      <w:szCs w:val="24"/>
    </w:rPr>
  </w:style>
  <w:style w:type="character" w:customStyle="1" w:styleId="EstiloCar">
    <w:name w:val="Estilo Car"/>
    <w:link w:val="Estilo"/>
    <w:locked/>
    <w:rsid w:val="00C74F57"/>
    <w:rPr>
      <w:rFonts w:ascii="Arial" w:eastAsia="Calibri" w:hAnsi="Arial" w:cs="Arial"/>
      <w:sz w:val="24"/>
      <w:szCs w:val="24"/>
      <w:lang w:val="es-MX"/>
    </w:rPr>
  </w:style>
  <w:style w:type="paragraph" w:styleId="Prrafodelista">
    <w:name w:val="List Paragraph"/>
    <w:basedOn w:val="Normal"/>
    <w:uiPriority w:val="34"/>
    <w:qFormat/>
    <w:rsid w:val="001A16C0"/>
    <w:pPr>
      <w:ind w:left="720"/>
      <w:contextualSpacing/>
    </w:pPr>
  </w:style>
  <w:style w:type="paragraph" w:styleId="Textonotapie">
    <w:name w:val="footnote text"/>
    <w:basedOn w:val="Normal"/>
    <w:link w:val="TextonotapieCar"/>
    <w:rsid w:val="001A16C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A16C0"/>
    <w:rPr>
      <w:rFonts w:ascii="Times New Roman" w:eastAsia="Times New Roman" w:hAnsi="Times New Roman" w:cs="Times New Roman"/>
      <w:sz w:val="20"/>
      <w:szCs w:val="20"/>
      <w:lang w:eastAsia="es-ES"/>
    </w:rPr>
  </w:style>
  <w:style w:type="character" w:styleId="Refdenotaalpie">
    <w:name w:val="footnote reference"/>
    <w:rsid w:val="001A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6993">
      <w:bodyDiv w:val="1"/>
      <w:marLeft w:val="0"/>
      <w:marRight w:val="0"/>
      <w:marTop w:val="0"/>
      <w:marBottom w:val="0"/>
      <w:divBdr>
        <w:top w:val="none" w:sz="0" w:space="0" w:color="auto"/>
        <w:left w:val="none" w:sz="0" w:space="0" w:color="auto"/>
        <w:bottom w:val="none" w:sz="0" w:space="0" w:color="auto"/>
        <w:right w:val="none" w:sz="0" w:space="0" w:color="auto"/>
      </w:divBdr>
      <w:divsChild>
        <w:div w:id="293681763">
          <w:marLeft w:val="0"/>
          <w:marRight w:val="0"/>
          <w:marTop w:val="0"/>
          <w:marBottom w:val="101"/>
          <w:divBdr>
            <w:top w:val="none" w:sz="0" w:space="0" w:color="auto"/>
            <w:left w:val="none" w:sz="0" w:space="0" w:color="auto"/>
            <w:bottom w:val="none" w:sz="0" w:space="0" w:color="auto"/>
            <w:right w:val="none" w:sz="0" w:space="0" w:color="auto"/>
          </w:divBdr>
        </w:div>
      </w:divsChild>
    </w:div>
    <w:div w:id="164171345">
      <w:bodyDiv w:val="1"/>
      <w:marLeft w:val="0"/>
      <w:marRight w:val="0"/>
      <w:marTop w:val="0"/>
      <w:marBottom w:val="0"/>
      <w:divBdr>
        <w:top w:val="none" w:sz="0" w:space="0" w:color="auto"/>
        <w:left w:val="none" w:sz="0" w:space="0" w:color="auto"/>
        <w:bottom w:val="none" w:sz="0" w:space="0" w:color="auto"/>
        <w:right w:val="none" w:sz="0" w:space="0" w:color="auto"/>
      </w:divBdr>
      <w:divsChild>
        <w:div w:id="1974019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Acceso a la Información Pública del Estado de Jalisco y sus Municipios.</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A través de la exploración de los sistemas electrónicos de publicación de información pública fundamental (portal de Internet) de los sujetos obligados.</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Adjetivos:</a:t>
          </a:r>
          <a:r>
            <a:rPr lang="es-MX" sz="1100">
              <a:solidFill>
                <a:schemeClr val="accent5">
                  <a:lumMod val="50000"/>
                </a:schemeClr>
              </a:solidFill>
              <a:latin typeface="+mn-lt"/>
            </a:rPr>
            <a:t> </a:t>
          </a:r>
          <a:r>
            <a:rPr lang="es-MX" sz="1100">
              <a:latin typeface="+mn-lt"/>
            </a:rPr>
            <a:t>Publicidad, vigencia, accesibilidad e información completa; 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Sustantivos: </a:t>
          </a:r>
          <a:r>
            <a:rPr lang="es-MX" sz="1100">
              <a:latin typeface="+mn-lt"/>
            </a:rPr>
            <a:t>Es la información fundamental general y específica contemplada en la Ley de la materia.</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pt>
    <dgm:pt modelId="{689EEEFA-713C-43C8-B200-05A1AB80D2F1}" type="pres">
      <dgm:prSet presAssocID="{3414FE68-2236-4183-88B2-C9F685498F9A}" presName="parentText" presStyleLbl="node1" presStyleIdx="0" presStyleCnt="3">
        <dgm:presLayoutVars>
          <dgm:chMax val="0"/>
          <dgm:bulletEnabled val="1"/>
        </dgm:presLayoutVars>
      </dgm:prSet>
      <dgm:spPr/>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pt>
    <dgm:pt modelId="{BA77713E-9E67-417A-ACB5-30EB4EDA95C9}" type="pres">
      <dgm:prSet presAssocID="{D9ECD9BD-0E39-48F1-A989-9259F6F83665}" presName="parentText" presStyleLbl="node1" presStyleIdx="1" presStyleCnt="3">
        <dgm:presLayoutVars>
          <dgm:chMax val="0"/>
          <dgm:bulletEnabled val="1"/>
        </dgm:presLayoutVars>
      </dgm:prSet>
      <dgm:spPr/>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pt>
    <dgm:pt modelId="{3FA6839A-3FD3-4F34-B387-D35E05A0A31B}" type="pres">
      <dgm:prSet presAssocID="{AE998CA3-9BDE-4128-A76A-921E0DA260E0}" presName="parentText" presStyleLbl="node1" presStyleIdx="2" presStyleCnt="3">
        <dgm:presLayoutVars>
          <dgm:chMax val="0"/>
          <dgm:bulletEnabled val="1"/>
        </dgm:presLayoutVars>
      </dgm:prSet>
      <dgm:spPr/>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pt>
  </dgm:ptLst>
  <dgm:cxnLst>
    <dgm:cxn modelId="{C57C4748-15E7-4484-AD25-368C39C45E7E}" srcId="{D9ECD9BD-0E39-48F1-A989-9259F6F83665}" destId="{43E12FAD-CA8A-40D8-9BD9-4E91DAD36286}" srcOrd="0" destOrd="0" parTransId="{B55B82D4-B70F-4AB0-86BE-CC83CE8F7E6C}" sibTransId="{DC0D53B1-26F5-43D2-96ED-6C9610DFDBDD}"/>
    <dgm:cxn modelId="{28208E52-BCD7-4A5C-A02B-03487AEF7872}" type="presOf" srcId="{D9ECD9BD-0E39-48F1-A989-9259F6F83665}" destId="{BA77713E-9E67-417A-ACB5-30EB4EDA95C9}" srcOrd="1" destOrd="0" presId="urn:microsoft.com/office/officeart/2005/8/layout/list1"/>
    <dgm:cxn modelId="{FDA8AA53-5CB8-436C-BA76-CD0C52D4D546}" type="presOf" srcId="{5E6EA6B7-5F95-44D2-A3C8-AA7FF123536C}" destId="{9A747B75-C8AC-46EF-BFB3-7FE40599B847}" srcOrd="0" destOrd="0" presId="urn:microsoft.com/office/officeart/2005/8/layout/list1"/>
    <dgm:cxn modelId="{E5AEA96E-F369-432D-8875-1E97F936D1E6}" type="presOf" srcId="{80E5C720-E5A1-41E9-A209-554F423E1700}" destId="{BE31C51D-19F1-43F7-A4A1-42FDF69C17EC}" srcOrd="0" destOrd="0" presId="urn:microsoft.com/office/officeart/2005/8/layout/list1"/>
    <dgm:cxn modelId="{5FBD5B76-B671-40CA-978B-C8058B3DF36E}" type="presOf" srcId="{9CB98E4D-7FFE-47FC-BDE3-D513BFDBD08C}" destId="{BE31C51D-19F1-43F7-A4A1-42FDF69C17EC}" srcOrd="0" destOrd="1" presId="urn:microsoft.com/office/officeart/2005/8/layout/list1"/>
    <dgm:cxn modelId="{AAA6C679-2DC4-487F-988F-AEF3F06E96DC}" type="presOf" srcId="{3414FE68-2236-4183-88B2-C9F685498F9A}" destId="{689EEEFA-713C-43C8-B200-05A1AB80D2F1}" srcOrd="1" destOrd="0" presId="urn:microsoft.com/office/officeart/2005/8/layout/list1"/>
    <dgm:cxn modelId="{CFDC077D-E54F-4109-96FD-EC5C564FD478}" type="presOf" srcId="{AE998CA3-9BDE-4128-A76A-921E0DA260E0}" destId="{3E4B1BE0-129D-424F-A39D-DD332545837F}" srcOrd="0"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F5B84882-6C42-4B2A-8A53-4FE95103390F}" type="presOf" srcId="{43E12FAD-CA8A-40D8-9BD9-4E91DAD36286}" destId="{5B36477B-2AAB-4889-BCEB-6F85230CD85D}" srcOrd="0" destOrd="0" presId="urn:microsoft.com/office/officeart/2005/8/layout/list1"/>
    <dgm:cxn modelId="{B46AD489-3E20-4425-84CC-A5668AC05FE2}" type="presOf" srcId="{3414FE68-2236-4183-88B2-C9F685498F9A}" destId="{7B9F11F9-F804-4DF2-9CC4-854DA98FEE3C}" srcOrd="0" destOrd="0" presId="urn:microsoft.com/office/officeart/2005/8/layout/list1"/>
    <dgm:cxn modelId="{598DC490-8A59-4264-8E3D-E6BA13DDC6A8}" srcId="{C2A50712-F199-459A-B28D-46D686F45B9E}" destId="{AE998CA3-9BDE-4128-A76A-921E0DA260E0}" srcOrd="2" destOrd="0" parTransId="{6EB7AE1E-C0B6-4AC5-9F50-90689B49AAD0}" sibTransId="{FCDC72C8-81C2-4AA1-8D2D-4F7134A735A4}"/>
    <dgm:cxn modelId="{9210F295-6CE6-43BB-9EE9-D8E3A6AE3C21}" srcId="{AE998CA3-9BDE-4128-A76A-921E0DA260E0}" destId="{9CB98E4D-7FFE-47FC-BDE3-D513BFDBD08C}" srcOrd="1" destOrd="0" parTransId="{DCCE0CFD-AE01-4430-B07C-F8617196CD93}" sibTransId="{F01DDDC8-7CBE-41AB-8314-F9976AD5F370}"/>
    <dgm:cxn modelId="{A0C689A5-EA0A-46EB-A972-33890A06713B}" srcId="{C2A50712-F199-459A-B28D-46D686F45B9E}" destId="{3414FE68-2236-4183-88B2-C9F685498F9A}" srcOrd="0" destOrd="0" parTransId="{67F46612-25E9-4803-A4A2-918A39D2869E}" sibTransId="{41D5A6AF-A261-4941-850E-4D1B829F6A7A}"/>
    <dgm:cxn modelId="{7CA444C4-6446-4AE7-9CCA-11DAFFB79924}" srcId="{C2A50712-F199-459A-B28D-46D686F45B9E}" destId="{D9ECD9BD-0E39-48F1-A989-9259F6F83665}" srcOrd="1" destOrd="0" parTransId="{DDDCC7D9-C62F-4E92-BD3D-B702FF8B9F67}" sibTransId="{50D0E3E2-DE15-485E-8DFF-0AB443CE5F15}"/>
    <dgm:cxn modelId="{2E7CBFDF-C594-4532-B49E-209FC0F42377}" type="presOf" srcId="{AE998CA3-9BDE-4128-A76A-921E0DA260E0}" destId="{3FA6839A-3FD3-4F34-B387-D35E05A0A31B}" srcOrd="1" destOrd="0" presId="urn:microsoft.com/office/officeart/2005/8/layout/list1"/>
    <dgm:cxn modelId="{611942F9-B5FB-4F68-9B8A-507EDF4E16DB}" srcId="{AE998CA3-9BDE-4128-A76A-921E0DA260E0}" destId="{80E5C720-E5A1-41E9-A209-554F423E1700}" srcOrd="0" destOrd="0" parTransId="{EA82ABC9-6EEA-4F3B-9FF1-D0D7407E27AD}" sibTransId="{0C2BD40B-2360-4E65-8453-5FDDCFEFE533}"/>
    <dgm:cxn modelId="{A85990FA-23C3-4625-B992-C63E2CFBD857}" type="presOf" srcId="{C2A50712-F199-459A-B28D-46D686F45B9E}" destId="{4D7F3C9D-630F-4EBD-8721-8B340A9CD127}" srcOrd="0" destOrd="0" presId="urn:microsoft.com/office/officeart/2005/8/layout/list1"/>
    <dgm:cxn modelId="{B53827FC-8FB2-4804-B8C8-90C95126CD8C}" type="presOf" srcId="{D9ECD9BD-0E39-48F1-A989-9259F6F83665}" destId="{02C6912B-15BA-475A-A4F5-133434E49C48}" srcOrd="0" destOrd="0" presId="urn:microsoft.com/office/officeart/2005/8/layout/list1"/>
    <dgm:cxn modelId="{C3239B03-1839-43D4-A504-6418CD6618C0}" type="presParOf" srcId="{4D7F3C9D-630F-4EBD-8721-8B340A9CD127}" destId="{721C7DFA-08B9-41B6-9CA0-FD8D9BEFF3C7}" srcOrd="0" destOrd="0" presId="urn:microsoft.com/office/officeart/2005/8/layout/list1"/>
    <dgm:cxn modelId="{1CDC4A9A-3B78-47D5-B20B-FF89170BC09D}" type="presParOf" srcId="{721C7DFA-08B9-41B6-9CA0-FD8D9BEFF3C7}" destId="{7B9F11F9-F804-4DF2-9CC4-854DA98FEE3C}" srcOrd="0" destOrd="0" presId="urn:microsoft.com/office/officeart/2005/8/layout/list1"/>
    <dgm:cxn modelId="{F0FD32B8-7C7F-47A6-8541-20F8C7DF666A}" type="presParOf" srcId="{721C7DFA-08B9-41B6-9CA0-FD8D9BEFF3C7}" destId="{689EEEFA-713C-43C8-B200-05A1AB80D2F1}" srcOrd="1" destOrd="0" presId="urn:microsoft.com/office/officeart/2005/8/layout/list1"/>
    <dgm:cxn modelId="{91A7F495-A678-4D94-9A50-0438C7504A8D}" type="presParOf" srcId="{4D7F3C9D-630F-4EBD-8721-8B340A9CD127}" destId="{1D195CEA-81AD-44AA-9514-A528A85218D9}" srcOrd="1" destOrd="0" presId="urn:microsoft.com/office/officeart/2005/8/layout/list1"/>
    <dgm:cxn modelId="{322DF9DE-DA76-41E2-8F6D-DC4AF31800BC}" type="presParOf" srcId="{4D7F3C9D-630F-4EBD-8721-8B340A9CD127}" destId="{9A747B75-C8AC-46EF-BFB3-7FE40599B847}" srcOrd="2" destOrd="0" presId="urn:microsoft.com/office/officeart/2005/8/layout/list1"/>
    <dgm:cxn modelId="{1FA2E120-8298-4614-A7B1-DC5E5705BA9A}" type="presParOf" srcId="{4D7F3C9D-630F-4EBD-8721-8B340A9CD127}" destId="{06A01D97-8586-4104-B7BB-2192B4A33667}" srcOrd="3" destOrd="0" presId="urn:microsoft.com/office/officeart/2005/8/layout/list1"/>
    <dgm:cxn modelId="{AB49F511-0430-4035-8F62-C12245A606A5}" type="presParOf" srcId="{4D7F3C9D-630F-4EBD-8721-8B340A9CD127}" destId="{932DF1D2-AD28-41BF-A944-A4183A29C065}" srcOrd="4" destOrd="0" presId="urn:microsoft.com/office/officeart/2005/8/layout/list1"/>
    <dgm:cxn modelId="{656E844D-CDBC-4D3D-8204-CA068044ED39}" type="presParOf" srcId="{932DF1D2-AD28-41BF-A944-A4183A29C065}" destId="{02C6912B-15BA-475A-A4F5-133434E49C48}" srcOrd="0" destOrd="0" presId="urn:microsoft.com/office/officeart/2005/8/layout/list1"/>
    <dgm:cxn modelId="{EE7C6C63-A611-45D9-9C46-3FB7CD51B8E5}" type="presParOf" srcId="{932DF1D2-AD28-41BF-A944-A4183A29C065}" destId="{BA77713E-9E67-417A-ACB5-30EB4EDA95C9}" srcOrd="1" destOrd="0" presId="urn:microsoft.com/office/officeart/2005/8/layout/list1"/>
    <dgm:cxn modelId="{CF93E1AD-1B99-49A4-9A8E-164276D67F20}" type="presParOf" srcId="{4D7F3C9D-630F-4EBD-8721-8B340A9CD127}" destId="{E618D7E0-F3AA-43B2-B10F-2A91B4E719E0}" srcOrd="5" destOrd="0" presId="urn:microsoft.com/office/officeart/2005/8/layout/list1"/>
    <dgm:cxn modelId="{925AD364-0A1C-4D9D-B34E-86943019D8E5}" type="presParOf" srcId="{4D7F3C9D-630F-4EBD-8721-8B340A9CD127}" destId="{5B36477B-2AAB-4889-BCEB-6F85230CD85D}" srcOrd="6" destOrd="0" presId="urn:microsoft.com/office/officeart/2005/8/layout/list1"/>
    <dgm:cxn modelId="{D25262B2-CD46-456C-A176-A26F253A9B07}" type="presParOf" srcId="{4D7F3C9D-630F-4EBD-8721-8B340A9CD127}" destId="{DE5E8D38-FB17-402B-B064-243276D24D91}" srcOrd="7" destOrd="0" presId="urn:microsoft.com/office/officeart/2005/8/layout/list1"/>
    <dgm:cxn modelId="{D83CF960-881A-499A-985D-E453FD11A20E}" type="presParOf" srcId="{4D7F3C9D-630F-4EBD-8721-8B340A9CD127}" destId="{5C6A7306-AE72-452A-B24C-D9CA776FF249}" srcOrd="8" destOrd="0" presId="urn:microsoft.com/office/officeart/2005/8/layout/list1"/>
    <dgm:cxn modelId="{A2A23A0F-8557-40FE-B881-C0B5A679E6EF}" type="presParOf" srcId="{5C6A7306-AE72-452A-B24C-D9CA776FF249}" destId="{3E4B1BE0-129D-424F-A39D-DD332545837F}" srcOrd="0" destOrd="0" presId="urn:microsoft.com/office/officeart/2005/8/layout/list1"/>
    <dgm:cxn modelId="{740FBF24-F186-4CF4-A3AC-94D409859C72}" type="presParOf" srcId="{5C6A7306-AE72-452A-B24C-D9CA776FF249}" destId="{3FA6839A-3FD3-4F34-B387-D35E05A0A31B}" srcOrd="1" destOrd="0" presId="urn:microsoft.com/office/officeart/2005/8/layout/list1"/>
    <dgm:cxn modelId="{ECF7629B-5450-4339-9AFB-E1C08372D9E9}" type="presParOf" srcId="{4D7F3C9D-630F-4EBD-8721-8B340A9CD127}" destId="{09AA2DDA-C169-457E-8770-9D8E2CC4B79F}" srcOrd="9" destOrd="0" presId="urn:microsoft.com/office/officeart/2005/8/layout/list1"/>
    <dgm:cxn modelId="{80D46CD9-2AE1-4EE8-ADAA-514C196A0744}"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su correspondiente obligación espejo contemplada en la Ley General.</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Utilizando la MTV, a través de la cual se verifican los criterios sustantivos y adjetivos establecidos en los formatos cargados por los sujetos obligados en el SIPOT de la PNT.</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Sustantivos:</a:t>
          </a:r>
          <a:r>
            <a:rPr lang="es-MX" sz="1100">
              <a:solidFill>
                <a:schemeClr val="accent5">
                  <a:lumMod val="50000"/>
                </a:schemeClr>
              </a:solidFill>
              <a:latin typeface="+mn-lt"/>
            </a:rPr>
            <a:t> </a:t>
          </a:r>
          <a:r>
            <a:rPr lang="es-MX" sz="1100">
              <a:solidFill>
                <a:sysClr val="windowText" lastClr="000000"/>
              </a:solidFill>
              <a:latin typeface="+mn-lt"/>
            </a:rPr>
            <a:t>Contenido; </a:t>
          </a:r>
          <a:r>
            <a:rPr lang="es-MX" sz="1100">
              <a:latin typeface="+mn-lt"/>
            </a:rPr>
            <a:t>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Adjetivos: </a:t>
          </a:r>
          <a:r>
            <a:rPr lang="es-MX" sz="1100">
              <a:latin typeface="+mn-lt"/>
            </a:rPr>
            <a:t>Actualización, confiabilidad y formato contemplados en los lineamientos técnicos generales de publicación, homologación y estadarización.</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pt>
    <dgm:pt modelId="{689EEEFA-713C-43C8-B200-05A1AB80D2F1}" type="pres">
      <dgm:prSet presAssocID="{3414FE68-2236-4183-88B2-C9F685498F9A}" presName="parentText" presStyleLbl="node1" presStyleIdx="0" presStyleCnt="3">
        <dgm:presLayoutVars>
          <dgm:chMax val="0"/>
          <dgm:bulletEnabled val="1"/>
        </dgm:presLayoutVars>
      </dgm:prSet>
      <dgm:spPr/>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pt>
    <dgm:pt modelId="{BA77713E-9E67-417A-ACB5-30EB4EDA95C9}" type="pres">
      <dgm:prSet presAssocID="{D9ECD9BD-0E39-48F1-A989-9259F6F83665}" presName="parentText" presStyleLbl="node1" presStyleIdx="1" presStyleCnt="3">
        <dgm:presLayoutVars>
          <dgm:chMax val="0"/>
          <dgm:bulletEnabled val="1"/>
        </dgm:presLayoutVars>
      </dgm:prSet>
      <dgm:spPr/>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pt>
    <dgm:pt modelId="{3FA6839A-3FD3-4F34-B387-D35E05A0A31B}" type="pres">
      <dgm:prSet presAssocID="{AE998CA3-9BDE-4128-A76A-921E0DA260E0}" presName="parentText" presStyleLbl="node1" presStyleIdx="2" presStyleCnt="3">
        <dgm:presLayoutVars>
          <dgm:chMax val="0"/>
          <dgm:bulletEnabled val="1"/>
        </dgm:presLayoutVars>
      </dgm:prSet>
      <dgm:spPr/>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pt>
  </dgm:ptLst>
  <dgm:cxnLst>
    <dgm:cxn modelId="{223C5E01-14B8-4F14-89B3-3066FC2EE231}" type="presOf" srcId="{9CB98E4D-7FFE-47FC-BDE3-D513BFDBD08C}" destId="{BE31C51D-19F1-43F7-A4A1-42FDF69C17EC}" srcOrd="0" destOrd="1" presId="urn:microsoft.com/office/officeart/2005/8/layout/list1"/>
    <dgm:cxn modelId="{E612090B-9A9B-4284-9415-B63EA29848AB}" type="presOf" srcId="{AE998CA3-9BDE-4128-A76A-921E0DA260E0}" destId="{3FA6839A-3FD3-4F34-B387-D35E05A0A31B}" srcOrd="1" destOrd="0" presId="urn:microsoft.com/office/officeart/2005/8/layout/list1"/>
    <dgm:cxn modelId="{5951C112-BAA1-4A31-8B4B-B0D97C96C6ED}" type="presOf" srcId="{C2A50712-F199-459A-B28D-46D686F45B9E}" destId="{4D7F3C9D-630F-4EBD-8721-8B340A9CD127}" srcOrd="0" destOrd="0" presId="urn:microsoft.com/office/officeart/2005/8/layout/list1"/>
    <dgm:cxn modelId="{DAE34D30-F05D-4CA1-B749-0ABA8ADB6E05}" type="presOf" srcId="{AE998CA3-9BDE-4128-A76A-921E0DA260E0}" destId="{3E4B1BE0-129D-424F-A39D-DD332545837F}" srcOrd="0" destOrd="0" presId="urn:microsoft.com/office/officeart/2005/8/layout/list1"/>
    <dgm:cxn modelId="{CA9DD33D-E9CD-4263-BC1A-17B4617BD30D}" type="presOf" srcId="{3414FE68-2236-4183-88B2-C9F685498F9A}" destId="{689EEEFA-713C-43C8-B200-05A1AB80D2F1}" srcOrd="1" destOrd="0" presId="urn:microsoft.com/office/officeart/2005/8/layout/list1"/>
    <dgm:cxn modelId="{F6EAFD45-A224-4C87-8FC8-F05B25490CE0}" type="presOf" srcId="{80E5C720-E5A1-41E9-A209-554F423E1700}" destId="{BE31C51D-19F1-43F7-A4A1-42FDF69C17EC}" srcOrd="0" destOrd="0" presId="urn:microsoft.com/office/officeart/2005/8/layout/list1"/>
    <dgm:cxn modelId="{C57C4748-15E7-4484-AD25-368C39C45E7E}" srcId="{D9ECD9BD-0E39-48F1-A989-9259F6F83665}" destId="{43E12FAD-CA8A-40D8-9BD9-4E91DAD36286}" srcOrd="0" destOrd="0" parTransId="{B55B82D4-B70F-4AB0-86BE-CC83CE8F7E6C}" sibTransId="{DC0D53B1-26F5-43D2-96ED-6C9610DFDBDD}"/>
    <dgm:cxn modelId="{EDFD004E-C047-4BBB-923E-7BF1022E2A86}" type="presOf" srcId="{3414FE68-2236-4183-88B2-C9F685498F9A}" destId="{7B9F11F9-F804-4DF2-9CC4-854DA98FEE3C}" srcOrd="0" destOrd="0" presId="urn:microsoft.com/office/officeart/2005/8/layout/list1"/>
    <dgm:cxn modelId="{0AD9ED56-B5A3-4018-90B5-982298100EC9}" type="presOf" srcId="{43E12FAD-CA8A-40D8-9BD9-4E91DAD36286}" destId="{5B36477B-2AAB-4889-BCEB-6F85230CD85D}" srcOrd="0"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9210F295-6CE6-43BB-9EE9-D8E3A6AE3C21}" srcId="{AE998CA3-9BDE-4128-A76A-921E0DA260E0}" destId="{9CB98E4D-7FFE-47FC-BDE3-D513BFDBD08C}" srcOrd="1" destOrd="0" parTransId="{DCCE0CFD-AE01-4430-B07C-F8617196CD93}" sibTransId="{F01DDDC8-7CBE-41AB-8314-F9976AD5F370}"/>
    <dgm:cxn modelId="{A0C689A5-EA0A-46EB-A972-33890A06713B}" srcId="{C2A50712-F199-459A-B28D-46D686F45B9E}" destId="{3414FE68-2236-4183-88B2-C9F685498F9A}" srcOrd="0" destOrd="0" parTransId="{67F46612-25E9-4803-A4A2-918A39D2869E}" sibTransId="{41D5A6AF-A261-4941-850E-4D1B829F6A7A}"/>
    <dgm:cxn modelId="{03E8FFA6-22B5-4A94-8335-9A7E0B64CF15}" type="presOf" srcId="{D9ECD9BD-0E39-48F1-A989-9259F6F83665}" destId="{02C6912B-15BA-475A-A4F5-133434E49C48}" srcOrd="0" destOrd="0" presId="urn:microsoft.com/office/officeart/2005/8/layout/list1"/>
    <dgm:cxn modelId="{2444EDA8-CCEC-44A4-8690-3092276D22F3}" type="presOf" srcId="{5E6EA6B7-5F95-44D2-A3C8-AA7FF123536C}" destId="{9A747B75-C8AC-46EF-BFB3-7FE40599B847}" srcOrd="0" destOrd="0" presId="urn:microsoft.com/office/officeart/2005/8/layout/list1"/>
    <dgm:cxn modelId="{7CA444C4-6446-4AE7-9CCA-11DAFFB79924}" srcId="{C2A50712-F199-459A-B28D-46D686F45B9E}" destId="{D9ECD9BD-0E39-48F1-A989-9259F6F83665}" srcOrd="1" destOrd="0" parTransId="{DDDCC7D9-C62F-4E92-BD3D-B702FF8B9F67}" sibTransId="{50D0E3E2-DE15-485E-8DFF-0AB443CE5F15}"/>
    <dgm:cxn modelId="{96AC43C7-BA1D-4F80-9DD0-C3AA3E97D2B9}" type="presOf" srcId="{D9ECD9BD-0E39-48F1-A989-9259F6F83665}" destId="{BA77713E-9E67-417A-ACB5-30EB4EDA95C9}" srcOrd="1" destOrd="0" presId="urn:microsoft.com/office/officeart/2005/8/layout/list1"/>
    <dgm:cxn modelId="{611942F9-B5FB-4F68-9B8A-507EDF4E16DB}" srcId="{AE998CA3-9BDE-4128-A76A-921E0DA260E0}" destId="{80E5C720-E5A1-41E9-A209-554F423E1700}" srcOrd="0" destOrd="0" parTransId="{EA82ABC9-6EEA-4F3B-9FF1-D0D7407E27AD}" sibTransId="{0C2BD40B-2360-4E65-8453-5FDDCFEFE533}"/>
    <dgm:cxn modelId="{0C780F3B-52F0-462C-AC8C-9AFD50BB390C}" type="presParOf" srcId="{4D7F3C9D-630F-4EBD-8721-8B340A9CD127}" destId="{721C7DFA-08B9-41B6-9CA0-FD8D9BEFF3C7}" srcOrd="0" destOrd="0" presId="urn:microsoft.com/office/officeart/2005/8/layout/list1"/>
    <dgm:cxn modelId="{B375FD05-A624-4A33-8C5E-746B415F563D}" type="presParOf" srcId="{721C7DFA-08B9-41B6-9CA0-FD8D9BEFF3C7}" destId="{7B9F11F9-F804-4DF2-9CC4-854DA98FEE3C}" srcOrd="0" destOrd="0" presId="urn:microsoft.com/office/officeart/2005/8/layout/list1"/>
    <dgm:cxn modelId="{03ACF6D4-61D3-4F86-BD84-CC079E775588}" type="presParOf" srcId="{721C7DFA-08B9-41B6-9CA0-FD8D9BEFF3C7}" destId="{689EEEFA-713C-43C8-B200-05A1AB80D2F1}" srcOrd="1" destOrd="0" presId="urn:microsoft.com/office/officeart/2005/8/layout/list1"/>
    <dgm:cxn modelId="{06CD124A-FA94-4A07-863C-3D20A7B63136}" type="presParOf" srcId="{4D7F3C9D-630F-4EBD-8721-8B340A9CD127}" destId="{1D195CEA-81AD-44AA-9514-A528A85218D9}" srcOrd="1" destOrd="0" presId="urn:microsoft.com/office/officeart/2005/8/layout/list1"/>
    <dgm:cxn modelId="{A0EB258B-89EF-477E-B29C-9128004ADAA4}" type="presParOf" srcId="{4D7F3C9D-630F-4EBD-8721-8B340A9CD127}" destId="{9A747B75-C8AC-46EF-BFB3-7FE40599B847}" srcOrd="2" destOrd="0" presId="urn:microsoft.com/office/officeart/2005/8/layout/list1"/>
    <dgm:cxn modelId="{9BCE66F6-2DFB-45E2-BF48-C1893E219C54}" type="presParOf" srcId="{4D7F3C9D-630F-4EBD-8721-8B340A9CD127}" destId="{06A01D97-8586-4104-B7BB-2192B4A33667}" srcOrd="3" destOrd="0" presId="urn:microsoft.com/office/officeart/2005/8/layout/list1"/>
    <dgm:cxn modelId="{7950D16A-18BC-4017-B26D-48DA413DC913}" type="presParOf" srcId="{4D7F3C9D-630F-4EBD-8721-8B340A9CD127}" destId="{932DF1D2-AD28-41BF-A944-A4183A29C065}" srcOrd="4" destOrd="0" presId="urn:microsoft.com/office/officeart/2005/8/layout/list1"/>
    <dgm:cxn modelId="{67DC3A5B-AD39-4923-8025-EBC590FC9C03}" type="presParOf" srcId="{932DF1D2-AD28-41BF-A944-A4183A29C065}" destId="{02C6912B-15BA-475A-A4F5-133434E49C48}" srcOrd="0" destOrd="0" presId="urn:microsoft.com/office/officeart/2005/8/layout/list1"/>
    <dgm:cxn modelId="{E1A4E5C3-04DF-41D1-81D2-B8E9C3B30C66}" type="presParOf" srcId="{932DF1D2-AD28-41BF-A944-A4183A29C065}" destId="{BA77713E-9E67-417A-ACB5-30EB4EDA95C9}" srcOrd="1" destOrd="0" presId="urn:microsoft.com/office/officeart/2005/8/layout/list1"/>
    <dgm:cxn modelId="{0125EF16-C582-441F-92A8-B71F6592A051}" type="presParOf" srcId="{4D7F3C9D-630F-4EBD-8721-8B340A9CD127}" destId="{E618D7E0-F3AA-43B2-B10F-2A91B4E719E0}" srcOrd="5" destOrd="0" presId="urn:microsoft.com/office/officeart/2005/8/layout/list1"/>
    <dgm:cxn modelId="{DA2D66F6-E27F-4C59-994B-61387BC8B112}" type="presParOf" srcId="{4D7F3C9D-630F-4EBD-8721-8B340A9CD127}" destId="{5B36477B-2AAB-4889-BCEB-6F85230CD85D}" srcOrd="6" destOrd="0" presId="urn:microsoft.com/office/officeart/2005/8/layout/list1"/>
    <dgm:cxn modelId="{4F082ACF-7681-487F-8817-DB0062EDB6E1}" type="presParOf" srcId="{4D7F3C9D-630F-4EBD-8721-8B340A9CD127}" destId="{DE5E8D38-FB17-402B-B064-243276D24D91}" srcOrd="7" destOrd="0" presId="urn:microsoft.com/office/officeart/2005/8/layout/list1"/>
    <dgm:cxn modelId="{18AD21A1-08B0-4871-8CAE-151EF50EB794}" type="presParOf" srcId="{4D7F3C9D-630F-4EBD-8721-8B340A9CD127}" destId="{5C6A7306-AE72-452A-B24C-D9CA776FF249}" srcOrd="8" destOrd="0" presId="urn:microsoft.com/office/officeart/2005/8/layout/list1"/>
    <dgm:cxn modelId="{D4F3DECA-FABA-4428-A5DF-AB971FE2823B}" type="presParOf" srcId="{5C6A7306-AE72-452A-B24C-D9CA776FF249}" destId="{3E4B1BE0-129D-424F-A39D-DD332545837F}" srcOrd="0" destOrd="0" presId="urn:microsoft.com/office/officeart/2005/8/layout/list1"/>
    <dgm:cxn modelId="{16F6C1F3-172C-4D3A-B284-C0FF5253D4CD}" type="presParOf" srcId="{5C6A7306-AE72-452A-B24C-D9CA776FF249}" destId="{3FA6839A-3FD3-4F34-B387-D35E05A0A31B}" srcOrd="1" destOrd="0" presId="urn:microsoft.com/office/officeart/2005/8/layout/list1"/>
    <dgm:cxn modelId="{47FB6435-C12A-43BC-BAD4-E5460DC6CFBE}" type="presParOf" srcId="{4D7F3C9D-630F-4EBD-8721-8B340A9CD127}" destId="{09AA2DDA-C169-457E-8770-9D8E2CC4B79F}" srcOrd="9" destOrd="0" presId="urn:microsoft.com/office/officeart/2005/8/layout/list1"/>
    <dgm:cxn modelId="{6F1F374C-CE8B-47D7-9A71-E2A8418D1E1B}"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75435"/>
          <a:ext cx="5486400" cy="837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Acceso a la Información Pública del Estado de Jalisco y sus Municipios.</a:t>
          </a:r>
        </a:p>
      </dsp:txBody>
      <dsp:txXfrm>
        <a:off x="0" y="175435"/>
        <a:ext cx="5486400" cy="837900"/>
      </dsp:txXfrm>
    </dsp:sp>
    <dsp:sp modelId="{689EEEFA-713C-43C8-B200-05A1AB80D2F1}">
      <dsp:nvSpPr>
        <dsp:cNvPr id="0" name=""/>
        <dsp:cNvSpPr/>
      </dsp:nvSpPr>
      <dsp:spPr>
        <a:xfrm>
          <a:off x="274320" y="2394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s-MX" sz="1400" kern="1200">
              <a:latin typeface="Arial Narrow" pitchFamily="34" charset="0"/>
            </a:rPr>
            <a:t>¿Qué se verifica?</a:t>
          </a:r>
        </a:p>
      </dsp:txBody>
      <dsp:txXfrm>
        <a:off x="294495" y="44115"/>
        <a:ext cx="3800130" cy="372930"/>
      </dsp:txXfrm>
    </dsp:sp>
    <dsp:sp modelId="{5B36477B-2AAB-4889-BCEB-6F85230CD85D}">
      <dsp:nvSpPr>
        <dsp:cNvPr id="0" name=""/>
        <dsp:cNvSpPr/>
      </dsp:nvSpPr>
      <dsp:spPr>
        <a:xfrm>
          <a:off x="0" y="1350720"/>
          <a:ext cx="5486400" cy="683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A través de la exploración de los sistemas electrónicos de publicación de información pública fundamental (portal de Internet) de los sujetos obligados.</a:t>
          </a:r>
        </a:p>
      </dsp:txBody>
      <dsp:txXfrm>
        <a:off x="0" y="1350720"/>
        <a:ext cx="5486400" cy="683550"/>
      </dsp:txXfrm>
    </dsp:sp>
    <dsp:sp modelId="{BA77713E-9E67-417A-ACB5-30EB4EDA95C9}">
      <dsp:nvSpPr>
        <dsp:cNvPr id="0" name=""/>
        <dsp:cNvSpPr/>
      </dsp:nvSpPr>
      <dsp:spPr>
        <a:xfrm>
          <a:off x="274320" y="114408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s-MX" sz="1400" kern="1200">
              <a:latin typeface="Arial Narrow" pitchFamily="34" charset="0"/>
            </a:rPr>
            <a:t>¿Cómo se aplica?</a:t>
          </a:r>
        </a:p>
      </dsp:txBody>
      <dsp:txXfrm>
        <a:off x="294495" y="1164255"/>
        <a:ext cx="3800130" cy="372930"/>
      </dsp:txXfrm>
    </dsp:sp>
    <dsp:sp modelId="{BE31C51D-19F1-43F7-A4A1-42FDF69C17EC}">
      <dsp:nvSpPr>
        <dsp:cNvPr id="0" name=""/>
        <dsp:cNvSpPr/>
      </dsp:nvSpPr>
      <dsp:spPr>
        <a:xfrm>
          <a:off x="0" y="2316510"/>
          <a:ext cx="5486400" cy="8599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a:t>
          </a:r>
          <a:r>
            <a:rPr lang="es-MX" sz="1100" kern="1200">
              <a:solidFill>
                <a:schemeClr val="accent5">
                  <a:lumMod val="50000"/>
                </a:schemeClr>
              </a:solidFill>
              <a:latin typeface="+mn-lt"/>
            </a:rPr>
            <a:t> </a:t>
          </a:r>
          <a:r>
            <a:rPr lang="es-MX" sz="1100" kern="1200">
              <a:latin typeface="+mn-lt"/>
            </a:rPr>
            <a:t>Publicidad, vigencia, accesibilidad e información completa; 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 </a:t>
          </a:r>
          <a:r>
            <a:rPr lang="es-MX" sz="1100" kern="1200">
              <a:latin typeface="+mn-lt"/>
            </a:rPr>
            <a:t>Es la información fundamental general y específica contemplada en la Ley de la materia.</a:t>
          </a:r>
        </a:p>
      </dsp:txBody>
      <dsp:txXfrm>
        <a:off x="0" y="2316510"/>
        <a:ext cx="5486400" cy="859950"/>
      </dsp:txXfrm>
    </dsp:sp>
    <dsp:sp modelId="{3FA6839A-3FD3-4F34-B387-D35E05A0A31B}">
      <dsp:nvSpPr>
        <dsp:cNvPr id="0" name=""/>
        <dsp:cNvSpPr/>
      </dsp:nvSpPr>
      <dsp:spPr>
        <a:xfrm>
          <a:off x="274320" y="210987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s-MX" sz="1400" kern="1200">
              <a:latin typeface="Arial Narrow" pitchFamily="34" charset="0"/>
            </a:rPr>
            <a:t>¿Qué criterios se utilizan?</a:t>
          </a:r>
        </a:p>
      </dsp:txBody>
      <dsp:txXfrm>
        <a:off x="294495" y="213004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44116"/>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su correspondiente obligación espejo contemplada en la Ley General.</a:t>
          </a:r>
        </a:p>
      </dsp:txBody>
      <dsp:txXfrm>
        <a:off x="0" y="144116"/>
        <a:ext cx="5486400" cy="819000"/>
      </dsp:txXfrm>
    </dsp:sp>
    <dsp:sp modelId="{689EEEFA-713C-43C8-B200-05A1AB80D2F1}">
      <dsp:nvSpPr>
        <dsp:cNvPr id="0" name=""/>
        <dsp:cNvSpPr/>
      </dsp:nvSpPr>
      <dsp:spPr>
        <a:xfrm>
          <a:off x="274320" y="344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s-MX" sz="1300" kern="1200">
              <a:latin typeface="Arial Narrow" pitchFamily="34" charset="0"/>
            </a:rPr>
            <a:t>¿Qué se verifica?</a:t>
          </a:r>
        </a:p>
      </dsp:txBody>
      <dsp:txXfrm>
        <a:off x="293054" y="22176"/>
        <a:ext cx="3803012" cy="346292"/>
      </dsp:txXfrm>
    </dsp:sp>
    <dsp:sp modelId="{5B36477B-2AAB-4889-BCEB-6F85230CD85D}">
      <dsp:nvSpPr>
        <dsp:cNvPr id="0" name=""/>
        <dsp:cNvSpPr/>
      </dsp:nvSpPr>
      <dsp:spPr>
        <a:xfrm>
          <a:off x="0" y="1276402"/>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Utilizando la MTV, a través de la cual se verifican los criterios sustantivos y adjetivos establecidos en los formatos cargados por los sujetos obligados en el SIPOT de la PNT.</a:t>
          </a:r>
        </a:p>
      </dsp:txBody>
      <dsp:txXfrm>
        <a:off x="0" y="1276402"/>
        <a:ext cx="5486400" cy="819000"/>
      </dsp:txXfrm>
    </dsp:sp>
    <dsp:sp modelId="{BA77713E-9E67-417A-ACB5-30EB4EDA95C9}">
      <dsp:nvSpPr>
        <dsp:cNvPr id="0" name=""/>
        <dsp:cNvSpPr/>
      </dsp:nvSpPr>
      <dsp:spPr>
        <a:xfrm>
          <a:off x="274320" y="108452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s-MX" sz="1300" kern="1200">
              <a:latin typeface="Arial Narrow" pitchFamily="34" charset="0"/>
            </a:rPr>
            <a:t>¿Cómo se aplica?</a:t>
          </a:r>
        </a:p>
      </dsp:txBody>
      <dsp:txXfrm>
        <a:off x="293054" y="1103256"/>
        <a:ext cx="3803012" cy="346292"/>
      </dsp:txXfrm>
    </dsp:sp>
    <dsp:sp modelId="{BE31C51D-19F1-43F7-A4A1-42FDF69C17EC}">
      <dsp:nvSpPr>
        <dsp:cNvPr id="0" name=""/>
        <dsp:cNvSpPr/>
      </dsp:nvSpPr>
      <dsp:spPr>
        <a:xfrm>
          <a:off x="0" y="2357482"/>
          <a:ext cx="5486400" cy="839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a:t>
          </a:r>
          <a:r>
            <a:rPr lang="es-MX" sz="1100" kern="1200">
              <a:solidFill>
                <a:schemeClr val="accent5">
                  <a:lumMod val="50000"/>
                </a:schemeClr>
              </a:solidFill>
              <a:latin typeface="+mn-lt"/>
            </a:rPr>
            <a:t> </a:t>
          </a:r>
          <a:r>
            <a:rPr lang="es-MX" sz="1100" kern="1200">
              <a:solidFill>
                <a:sysClr val="windowText" lastClr="000000"/>
              </a:solidFill>
              <a:latin typeface="+mn-lt"/>
            </a:rPr>
            <a:t>Contenido; </a:t>
          </a:r>
          <a:r>
            <a:rPr lang="es-MX" sz="1100" kern="1200">
              <a:latin typeface="+mn-lt"/>
            </a:rPr>
            <a:t>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 </a:t>
          </a:r>
          <a:r>
            <a:rPr lang="es-MX" sz="1100" kern="1200">
              <a:latin typeface="+mn-lt"/>
            </a:rPr>
            <a:t>Actualización, confiabilidad y formato contemplados en los lineamientos técnicos generales de publicación, homologación y estadarización.</a:t>
          </a:r>
        </a:p>
      </dsp:txBody>
      <dsp:txXfrm>
        <a:off x="0" y="2357482"/>
        <a:ext cx="5486400" cy="839475"/>
      </dsp:txXfrm>
    </dsp:sp>
    <dsp:sp modelId="{3FA6839A-3FD3-4F34-B387-D35E05A0A31B}">
      <dsp:nvSpPr>
        <dsp:cNvPr id="0" name=""/>
        <dsp:cNvSpPr/>
      </dsp:nvSpPr>
      <dsp:spPr>
        <a:xfrm>
          <a:off x="274320" y="216560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77850">
            <a:lnSpc>
              <a:spcPct val="90000"/>
            </a:lnSpc>
            <a:spcBef>
              <a:spcPct val="0"/>
            </a:spcBef>
            <a:spcAft>
              <a:spcPct val="35000"/>
            </a:spcAft>
            <a:buNone/>
          </a:pPr>
          <a:r>
            <a:rPr lang="es-MX" sz="1300" kern="1200">
              <a:latin typeface="Arial Narrow" pitchFamily="34" charset="0"/>
            </a:rPr>
            <a:t>¿Qué criterios se utilizan?</a:t>
          </a:r>
        </a:p>
      </dsp:txBody>
      <dsp:txXfrm>
        <a:off x="293054" y="2184336"/>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3165</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Microsoft Office User</cp:lastModifiedBy>
  <cp:revision>3</cp:revision>
  <cp:lastPrinted>2019-09-19T14:56:00Z</cp:lastPrinted>
  <dcterms:created xsi:type="dcterms:W3CDTF">2020-04-20T22:25:00Z</dcterms:created>
  <dcterms:modified xsi:type="dcterms:W3CDTF">2020-04-20T22:47:00Z</dcterms:modified>
</cp:coreProperties>
</file>