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64" w:rsidRPr="0036283B" w:rsidRDefault="00DF7D3C" w:rsidP="0036283B">
      <w:pPr>
        <w:spacing w:line="360" w:lineRule="auto"/>
        <w:jc w:val="both"/>
        <w:rPr>
          <w:rFonts w:ascii="Century Gothic" w:hAnsi="Century Gothic"/>
          <w:color w:val="000000"/>
        </w:rPr>
      </w:pPr>
      <w:r w:rsidRPr="0036283B">
        <w:rPr>
          <w:rFonts w:ascii="Century Gothic" w:hAnsi="Century Gothic" w:cs="Arial"/>
          <w:b/>
          <w:color w:val="000000"/>
        </w:rPr>
        <w:t>Recomendación para el Empleo Responsable de las cuentas oficiales de los sujetos obligados en rede</w:t>
      </w:r>
      <w:r w:rsidR="00FD225B">
        <w:rPr>
          <w:rFonts w:ascii="Century Gothic" w:hAnsi="Century Gothic" w:cs="Arial"/>
          <w:b/>
          <w:color w:val="000000"/>
        </w:rPr>
        <w:t>s sociales, que emite el Pleno</w:t>
      </w:r>
      <w:r w:rsidRPr="0036283B">
        <w:rPr>
          <w:rFonts w:ascii="Century Gothic" w:hAnsi="Century Gothic" w:cs="Arial"/>
          <w:b/>
          <w:color w:val="000000"/>
        </w:rPr>
        <w:t xml:space="preserve"> </w:t>
      </w:r>
      <w:r w:rsidR="00FD225B">
        <w:rPr>
          <w:rFonts w:ascii="Century Gothic" w:hAnsi="Century Gothic" w:cs="Arial"/>
          <w:b/>
          <w:color w:val="000000"/>
        </w:rPr>
        <w:t>del Instituto de Transparencia,</w:t>
      </w:r>
      <w:r w:rsidRPr="0036283B">
        <w:rPr>
          <w:rFonts w:ascii="Century Gothic" w:hAnsi="Century Gothic" w:cs="Arial"/>
          <w:b/>
          <w:color w:val="000000"/>
        </w:rPr>
        <w:t xml:space="preserve"> Información Pública </w:t>
      </w:r>
      <w:r w:rsidR="00FD225B">
        <w:rPr>
          <w:rFonts w:ascii="Century Gothic" w:hAnsi="Century Gothic" w:cs="Arial"/>
          <w:b/>
          <w:color w:val="000000"/>
        </w:rPr>
        <w:t xml:space="preserve"> y Protección de Datos Personales </w:t>
      </w:r>
      <w:r w:rsidRPr="0036283B">
        <w:rPr>
          <w:rFonts w:ascii="Century Gothic" w:hAnsi="Century Gothic" w:cs="Arial"/>
          <w:b/>
          <w:color w:val="000000"/>
        </w:rPr>
        <w:t>de</w:t>
      </w:r>
      <w:r w:rsidR="00FD225B">
        <w:rPr>
          <w:rFonts w:ascii="Century Gothic" w:hAnsi="Century Gothic" w:cs="Arial"/>
          <w:b/>
          <w:color w:val="000000"/>
        </w:rPr>
        <w:t xml:space="preserve">l Estado de </w:t>
      </w:r>
      <w:r w:rsidRPr="0036283B">
        <w:rPr>
          <w:rFonts w:ascii="Century Gothic" w:hAnsi="Century Gothic" w:cs="Arial"/>
          <w:b/>
          <w:color w:val="000000"/>
        </w:rPr>
        <w:t xml:space="preserve"> Jalisco. </w:t>
      </w:r>
    </w:p>
    <w:p w:rsidR="00311A64" w:rsidRPr="0036283B" w:rsidRDefault="00DF7D3C" w:rsidP="004A22DA">
      <w:pPr>
        <w:spacing w:after="0" w:line="360" w:lineRule="auto"/>
        <w:ind w:left="66" w:firstLine="642"/>
        <w:jc w:val="both"/>
        <w:rPr>
          <w:rFonts w:ascii="Century Gothic" w:eastAsia="Calibri" w:hAnsi="Century Gothic" w:cs="Arial"/>
          <w:color w:val="000000" w:themeColor="text1"/>
          <w:lang w:val="es-ES"/>
        </w:rPr>
      </w:pPr>
      <w:r w:rsidRPr="0036283B">
        <w:rPr>
          <w:rFonts w:ascii="Century Gothic" w:eastAsia="Calibri" w:hAnsi="Century Gothic" w:cs="Arial"/>
          <w:color w:val="000000" w:themeColor="text1"/>
          <w:lang w:val="es-ES"/>
        </w:rPr>
        <w:t xml:space="preserve">El </w:t>
      </w:r>
      <w:r w:rsidR="00D97C15">
        <w:rPr>
          <w:rFonts w:ascii="Century Gothic" w:eastAsia="Calibri" w:hAnsi="Century Gothic" w:cs="Arial"/>
          <w:color w:val="000000" w:themeColor="text1"/>
          <w:lang w:val="es-ES"/>
        </w:rPr>
        <w:t>Pleno</w:t>
      </w:r>
      <w:r w:rsidRPr="0036283B">
        <w:rPr>
          <w:rFonts w:ascii="Century Gothic" w:eastAsia="Calibri" w:hAnsi="Century Gothic" w:cs="Arial"/>
          <w:color w:val="000000" w:themeColor="text1"/>
          <w:lang w:val="es-ES"/>
        </w:rPr>
        <w:t xml:space="preserve"> de este Instituto, con fundamento en los artículos 33 punto 1, 35 punto 1 fracción XXVI y 41 punto 1 fracción XII de la Ley de Transparencia y Acceso a la Información Pública del Estado de Jalisco y sus Municipios; así como </w:t>
      </w:r>
      <w:r w:rsidRPr="0036283B">
        <w:rPr>
          <w:rFonts w:ascii="Century Gothic" w:eastAsia="Calibri" w:hAnsi="Century Gothic" w:cs="Arial"/>
          <w:color w:val="000000" w:themeColor="text1"/>
        </w:rPr>
        <w:t>el Tercero y Cuarto, de  los Lineamientos Generales para la Protección de la Información Confidencial y Reservada, que deberán observar los sujetos obligados previstos en la Ley de Transparencia y Acceso a la Información Pública del Estado de Jalisco y sus Municipios,</w:t>
      </w:r>
      <w:r w:rsidRPr="0036283B">
        <w:rPr>
          <w:rFonts w:ascii="Century Gothic" w:eastAsia="Calibri" w:hAnsi="Century Gothic" w:cs="Arial"/>
          <w:color w:val="000000" w:themeColor="text1"/>
          <w:lang w:val="es-ES"/>
        </w:rPr>
        <w:t xml:space="preserve"> tiene la atribución de interpretar y formular recomendaciones para mejorar el cumplimiento de la ley.</w:t>
      </w:r>
    </w:p>
    <w:p w:rsidR="00311A64" w:rsidRPr="0036283B" w:rsidRDefault="00311A64" w:rsidP="0036283B">
      <w:pPr>
        <w:spacing w:after="0" w:line="360" w:lineRule="auto"/>
        <w:ind w:left="66"/>
        <w:jc w:val="both"/>
        <w:rPr>
          <w:rFonts w:ascii="Century Gothic" w:eastAsia="Calibri" w:hAnsi="Century Gothic" w:cs="Arial"/>
          <w:color w:val="000000" w:themeColor="text1"/>
          <w:lang w:val="es-ES"/>
        </w:rPr>
      </w:pPr>
    </w:p>
    <w:p w:rsidR="00311A64" w:rsidRPr="0036283B" w:rsidRDefault="00DF7D3C" w:rsidP="0036283B">
      <w:pPr>
        <w:spacing w:line="360" w:lineRule="auto"/>
        <w:ind w:left="66"/>
        <w:jc w:val="both"/>
        <w:rPr>
          <w:rFonts w:ascii="Century Gothic" w:hAnsi="Century Gothic"/>
          <w:color w:val="000000"/>
        </w:rPr>
      </w:pPr>
      <w:r w:rsidRPr="0036283B">
        <w:rPr>
          <w:rFonts w:ascii="Century Gothic" w:eastAsia="Calibri" w:hAnsi="Century Gothic" w:cs="Arial"/>
          <w:color w:val="000000" w:themeColor="text1"/>
          <w:lang w:val="es-ES"/>
        </w:rPr>
        <w:tab/>
      </w:r>
      <w:r w:rsidRPr="0036283B">
        <w:rPr>
          <w:rFonts w:ascii="Century Gothic" w:eastAsia="Calibri" w:hAnsi="Century Gothic" w:cs="Arial"/>
          <w:color w:val="000000" w:themeColor="text1"/>
          <w:lang w:val="es-ES"/>
        </w:rPr>
        <w:tab/>
        <w:t>En virtud de lo anterior, se procede a emitir la recomendación “</w:t>
      </w:r>
      <w:r w:rsidRPr="0036283B">
        <w:rPr>
          <w:rFonts w:ascii="Century Gothic" w:eastAsia="Calibri" w:hAnsi="Century Gothic" w:cs="Arial"/>
          <w:b/>
          <w:color w:val="000000" w:themeColor="text1"/>
          <w:lang w:val="es-ES"/>
        </w:rPr>
        <w:t>P</w:t>
      </w:r>
      <w:r w:rsidRPr="0036283B">
        <w:rPr>
          <w:rFonts w:ascii="Century Gothic" w:hAnsi="Century Gothic" w:cs="Arial"/>
          <w:b/>
          <w:color w:val="000000"/>
        </w:rPr>
        <w:t>ara el Empleo Responsable en las cuentas oficiales de los sujetos obligados en redes sociales”</w:t>
      </w:r>
      <w:r w:rsidRPr="0036283B">
        <w:rPr>
          <w:rFonts w:ascii="Century Gothic" w:eastAsia="Calibri" w:hAnsi="Century Gothic" w:cs="Arial"/>
          <w:color w:val="000000" w:themeColor="text1"/>
          <w:lang w:val="es-ES"/>
        </w:rPr>
        <w:t>, de acuerdo a los siguientes</w:t>
      </w:r>
    </w:p>
    <w:p w:rsidR="00311A64" w:rsidRPr="0036283B" w:rsidRDefault="00DF7D3C" w:rsidP="0036283B">
      <w:pPr>
        <w:tabs>
          <w:tab w:val="left" w:pos="360"/>
          <w:tab w:val="left" w:pos="540"/>
        </w:tabs>
        <w:spacing w:line="360" w:lineRule="auto"/>
        <w:jc w:val="center"/>
        <w:rPr>
          <w:rFonts w:ascii="Century Gothic" w:eastAsia="Calibri" w:hAnsi="Century Gothic" w:cs="Arial"/>
          <w:b/>
          <w:bCs/>
          <w:color w:val="000000" w:themeColor="text1"/>
          <w:lang w:val="es-ES"/>
        </w:rPr>
      </w:pPr>
      <w:r w:rsidRPr="0036283B">
        <w:rPr>
          <w:rFonts w:ascii="Century Gothic" w:eastAsia="Calibri" w:hAnsi="Century Gothic" w:cs="Arial"/>
          <w:b/>
          <w:bCs/>
          <w:color w:val="000000" w:themeColor="text1"/>
          <w:lang w:val="es-ES"/>
        </w:rPr>
        <w:t>CONSIDERANDOS:</w:t>
      </w:r>
    </w:p>
    <w:p w:rsidR="00311A64" w:rsidRPr="0036283B" w:rsidRDefault="00362979" w:rsidP="0036283B">
      <w:pPr>
        <w:tabs>
          <w:tab w:val="left" w:pos="180"/>
          <w:tab w:val="left" w:pos="360"/>
        </w:tabs>
        <w:spacing w:line="360" w:lineRule="auto"/>
        <w:jc w:val="both"/>
        <w:rPr>
          <w:rFonts w:ascii="Century Gothic" w:eastAsia="Calibri" w:hAnsi="Century Gothic" w:cs="Arial"/>
          <w:color w:val="000000" w:themeColor="text1"/>
          <w:lang w:val="es-ES"/>
        </w:rPr>
      </w:pPr>
      <w:r w:rsidRPr="0036283B">
        <w:rPr>
          <w:rFonts w:ascii="Century Gothic" w:eastAsia="Calibri" w:hAnsi="Century Gothic" w:cs="Arial"/>
          <w:b/>
          <w:bCs/>
          <w:color w:val="000000" w:themeColor="text1"/>
          <w:lang w:val="es-ES"/>
        </w:rPr>
        <w:t>Primero</w:t>
      </w:r>
      <w:r w:rsidR="00DF7D3C" w:rsidRPr="0036283B">
        <w:rPr>
          <w:rFonts w:ascii="Century Gothic" w:eastAsia="Calibri" w:hAnsi="Century Gothic" w:cs="Arial"/>
          <w:b/>
          <w:bCs/>
          <w:color w:val="000000" w:themeColor="text1"/>
          <w:lang w:val="es-ES"/>
        </w:rPr>
        <w:t>.-</w:t>
      </w:r>
      <w:r w:rsidR="00DF7D3C" w:rsidRPr="0036283B">
        <w:rPr>
          <w:rFonts w:ascii="Century Gothic" w:eastAsia="Calibri" w:hAnsi="Century Gothic" w:cs="Arial"/>
          <w:color w:val="000000" w:themeColor="text1"/>
          <w:lang w:val="es-ES"/>
        </w:rPr>
        <w:t xml:space="preserve"> En el marco normativo mexicano se prevé, que el derecho de acceso a la información así como el de protección de datos personales, son derechos humanos fundamentales; por su parte, el artículo 6 constitucional establece los principios y bases en los cuales habrá de estar sustentado el ejercicio del derecho,  además de señalar los límites de acceso a la información en razón de proteger la vida privada, el interés público y los datos personales.</w:t>
      </w:r>
    </w:p>
    <w:p w:rsidR="00311A64" w:rsidRPr="0036283B" w:rsidRDefault="00DF7D3C" w:rsidP="0036283B">
      <w:pPr>
        <w:tabs>
          <w:tab w:val="left" w:pos="180"/>
          <w:tab w:val="left" w:pos="360"/>
        </w:tabs>
        <w:spacing w:line="360" w:lineRule="auto"/>
        <w:jc w:val="both"/>
        <w:rPr>
          <w:rFonts w:ascii="Century Gothic" w:eastAsia="Calibri" w:hAnsi="Century Gothic" w:cs="Arial"/>
          <w:b/>
          <w:bCs/>
          <w:color w:val="000000" w:themeColor="text1"/>
          <w:lang w:val="es-ES"/>
        </w:rPr>
      </w:pPr>
      <w:r w:rsidRPr="0036283B">
        <w:rPr>
          <w:rFonts w:ascii="Century Gothic" w:eastAsia="Calibri" w:hAnsi="Century Gothic" w:cs="Arial"/>
          <w:color w:val="000000" w:themeColor="text1"/>
          <w:lang w:val="es-ES"/>
        </w:rPr>
        <w:tab/>
      </w:r>
      <w:r w:rsidRPr="0036283B">
        <w:rPr>
          <w:rFonts w:ascii="Century Gothic" w:eastAsia="Calibri" w:hAnsi="Century Gothic" w:cs="Arial"/>
          <w:color w:val="000000" w:themeColor="text1"/>
          <w:lang w:val="es-ES"/>
        </w:rPr>
        <w:tab/>
      </w:r>
      <w:r w:rsidRPr="0036283B">
        <w:rPr>
          <w:rFonts w:ascii="Century Gothic" w:eastAsia="Calibri" w:hAnsi="Century Gothic" w:cs="Arial"/>
          <w:color w:val="000000" w:themeColor="text1"/>
          <w:lang w:val="es-ES"/>
        </w:rPr>
        <w:tab/>
      </w:r>
      <w:r w:rsidRPr="0036283B">
        <w:rPr>
          <w:rFonts w:ascii="Century Gothic" w:eastAsia="Calibri" w:hAnsi="Century Gothic" w:cs="Arial"/>
          <w:color w:val="000000" w:themeColor="text1"/>
          <w:lang w:val="es-ES"/>
        </w:rPr>
        <w:tab/>
        <w:t>Aunado a lo anterior, el artículo 16 párrafo segundo, de la Constitución Política de los Estados Unidos Mexicanos, señala que todas las personas tienen derecho a la protección, al acceso, rectificación y cancelación de sus datos personales, así como a manifestar su oposición en los términos que la legislación de la materia lo establezca, por lo que es necesario garantizar el respeto a esta máxima constitucional.</w:t>
      </w:r>
    </w:p>
    <w:p w:rsidR="00311A64" w:rsidRPr="0036283B" w:rsidRDefault="00DF7D3C" w:rsidP="0036283B">
      <w:pPr>
        <w:tabs>
          <w:tab w:val="left" w:pos="180"/>
          <w:tab w:val="left" w:pos="360"/>
        </w:tabs>
        <w:spacing w:line="360" w:lineRule="auto"/>
        <w:jc w:val="both"/>
        <w:rPr>
          <w:rFonts w:ascii="Century Gothic" w:eastAsia="Calibri" w:hAnsi="Century Gothic" w:cs="Arial"/>
          <w:color w:val="000000" w:themeColor="text1"/>
          <w:lang w:val="es-ES"/>
        </w:rPr>
      </w:pPr>
      <w:r w:rsidRPr="0036283B">
        <w:rPr>
          <w:rFonts w:ascii="Century Gothic" w:eastAsia="Calibri" w:hAnsi="Century Gothic" w:cs="Arial"/>
          <w:color w:val="000000" w:themeColor="text1"/>
          <w:lang w:val="es-ES"/>
        </w:rPr>
        <w:lastRenderedPageBreak/>
        <w:tab/>
      </w:r>
      <w:r w:rsidRPr="0036283B">
        <w:rPr>
          <w:rFonts w:ascii="Century Gothic" w:eastAsia="Calibri" w:hAnsi="Century Gothic" w:cs="Arial"/>
          <w:color w:val="000000" w:themeColor="text1"/>
          <w:lang w:val="es-ES"/>
        </w:rPr>
        <w:tab/>
      </w:r>
      <w:r w:rsidRPr="0036283B">
        <w:rPr>
          <w:rFonts w:ascii="Century Gothic" w:eastAsia="Calibri" w:hAnsi="Century Gothic" w:cs="Arial"/>
          <w:color w:val="000000" w:themeColor="text1"/>
          <w:lang w:val="es-ES"/>
        </w:rPr>
        <w:tab/>
      </w:r>
      <w:r w:rsidRPr="0036283B">
        <w:rPr>
          <w:rFonts w:ascii="Century Gothic" w:eastAsia="Calibri" w:hAnsi="Century Gothic" w:cs="Arial"/>
          <w:color w:val="000000" w:themeColor="text1"/>
          <w:lang w:val="es-ES"/>
        </w:rPr>
        <w:tab/>
        <w:t xml:space="preserve">El derecho a la protección de datos personales, debe ser garantizado por el Estado. Además de ser un derecho de última generación, constituye un derecho humano protegido por la  legislación mexicana, Tratados y Convenios Internacionales en la materia, como es el caso de la Convención Americana sobre Derechos Humanos y el Pacto Internacional de Derechos Civiles y Políticos, por lo que, la función primordial del Estado, debe ser su correcta observancia, y evitar en todo lo posible que éste sea vulnerado. </w:t>
      </w:r>
    </w:p>
    <w:p w:rsidR="00311A64" w:rsidRPr="0036283B" w:rsidRDefault="00DF7D3C" w:rsidP="0036283B">
      <w:pPr>
        <w:tabs>
          <w:tab w:val="left" w:pos="180"/>
          <w:tab w:val="left" w:pos="360"/>
        </w:tabs>
        <w:spacing w:line="360" w:lineRule="auto"/>
        <w:jc w:val="both"/>
        <w:rPr>
          <w:rFonts w:ascii="Century Gothic" w:eastAsia="Calibri" w:hAnsi="Century Gothic" w:cs="Arial"/>
          <w:color w:val="000000" w:themeColor="text1"/>
          <w:lang w:val="es-ES"/>
        </w:rPr>
      </w:pPr>
      <w:r w:rsidRPr="0036283B">
        <w:rPr>
          <w:rFonts w:ascii="Century Gothic" w:eastAsia="Calibri" w:hAnsi="Century Gothic" w:cs="Arial"/>
          <w:b/>
          <w:bCs/>
          <w:color w:val="000000" w:themeColor="text1"/>
          <w:lang w:val="es-ES"/>
        </w:rPr>
        <w:tab/>
      </w:r>
      <w:r w:rsidRPr="0036283B">
        <w:rPr>
          <w:rFonts w:ascii="Century Gothic" w:eastAsia="Calibri" w:hAnsi="Century Gothic" w:cs="Arial"/>
          <w:b/>
          <w:bCs/>
          <w:color w:val="000000" w:themeColor="text1"/>
          <w:lang w:val="es-ES"/>
        </w:rPr>
        <w:tab/>
      </w:r>
      <w:r w:rsidRPr="0036283B">
        <w:rPr>
          <w:rFonts w:ascii="Century Gothic" w:eastAsia="Calibri" w:hAnsi="Century Gothic" w:cs="Arial"/>
          <w:b/>
          <w:bCs/>
          <w:color w:val="000000" w:themeColor="text1"/>
          <w:lang w:val="es-ES"/>
        </w:rPr>
        <w:tab/>
      </w:r>
      <w:r w:rsidRPr="0036283B">
        <w:rPr>
          <w:rFonts w:ascii="Century Gothic" w:eastAsia="Calibri" w:hAnsi="Century Gothic" w:cs="Arial"/>
          <w:b/>
          <w:bCs/>
          <w:color w:val="000000" w:themeColor="text1"/>
          <w:lang w:val="es-ES"/>
        </w:rPr>
        <w:tab/>
      </w:r>
      <w:r w:rsidRPr="0036283B">
        <w:rPr>
          <w:rFonts w:ascii="Century Gothic" w:eastAsia="Calibri" w:hAnsi="Century Gothic" w:cs="Arial"/>
          <w:color w:val="000000" w:themeColor="text1"/>
          <w:lang w:val="es-ES"/>
        </w:rPr>
        <w:t xml:space="preserve"> En este tenor, es el Instituto de Transparencia e Información Pública de Jalisco, el órgano encargado de dar cumplimiento a dicha función, de conformidad con los principios rectores de máxima publicidad de este derecho, además de cumplir con los principios de gratuidad, interés general, libre acceso, mínima formalidad, sencillez y celeridad, suplencia de la deficiencia y transparencia.</w:t>
      </w:r>
    </w:p>
    <w:p w:rsidR="00311A64" w:rsidRPr="0036283B" w:rsidRDefault="00DF7D3C" w:rsidP="0036283B">
      <w:pPr>
        <w:spacing w:line="360" w:lineRule="auto"/>
        <w:ind w:right="42" w:firstLine="709"/>
        <w:jc w:val="both"/>
        <w:rPr>
          <w:rFonts w:ascii="Century Gothic" w:hAnsi="Century Gothic" w:cs="Arial"/>
          <w:color w:val="000000"/>
          <w:lang w:eastAsia="es-MX"/>
        </w:rPr>
      </w:pPr>
      <w:r w:rsidRPr="0036283B">
        <w:rPr>
          <w:rFonts w:ascii="Century Gothic" w:hAnsi="Century Gothic" w:cs="Arial"/>
          <w:b/>
          <w:color w:val="000000"/>
          <w:lang w:eastAsia="es-MX"/>
        </w:rPr>
        <w:t>Segundo.-</w:t>
      </w:r>
      <w:r w:rsidRPr="0036283B">
        <w:rPr>
          <w:rFonts w:ascii="Century Gothic" w:hAnsi="Century Gothic" w:cs="Arial"/>
          <w:color w:val="000000"/>
          <w:lang w:eastAsia="es-MX"/>
        </w:rPr>
        <w:t xml:space="preserve"> La protección jurídica a la intimidad personal debe equilibrar la libertad y convivencia y exige que sean arbitrados los medios jurídicos correspondientes para la protección de la vida privada, creando un marco de seguridad en defensa de la intimidad. </w:t>
      </w:r>
    </w:p>
    <w:p w:rsidR="00311A64" w:rsidRPr="0036283B" w:rsidRDefault="00DF7D3C" w:rsidP="0036283B">
      <w:pPr>
        <w:spacing w:line="360" w:lineRule="auto"/>
        <w:ind w:right="42" w:firstLine="709"/>
        <w:jc w:val="both"/>
        <w:rPr>
          <w:rFonts w:ascii="Century Gothic" w:hAnsi="Century Gothic" w:cs="Arial"/>
          <w:color w:val="000000"/>
          <w:lang w:eastAsia="es-MX"/>
        </w:rPr>
      </w:pPr>
      <w:r w:rsidRPr="0036283B">
        <w:rPr>
          <w:rFonts w:ascii="Century Gothic" w:hAnsi="Century Gothic" w:cs="Arial"/>
          <w:b/>
          <w:color w:val="000000"/>
          <w:lang w:eastAsia="es-MX"/>
        </w:rPr>
        <w:t xml:space="preserve">Tercero.- </w:t>
      </w:r>
      <w:r w:rsidRPr="0036283B">
        <w:rPr>
          <w:rFonts w:ascii="Century Gothic" w:hAnsi="Century Gothic" w:cs="Arial"/>
          <w:color w:val="000000"/>
          <w:lang w:eastAsia="es-MX"/>
        </w:rPr>
        <w:t xml:space="preserve"> Los nuevos modelos de administración pública como el  avance imparable de la </w:t>
      </w:r>
      <w:r w:rsidRPr="0036283B">
        <w:rPr>
          <w:rFonts w:ascii="Century Gothic" w:hAnsi="Century Gothic" w:cs="Arial"/>
          <w:b/>
          <w:bCs/>
          <w:color w:val="000000"/>
          <w:lang w:eastAsia="es-MX"/>
        </w:rPr>
        <w:t>economía colaborativa</w:t>
      </w:r>
      <w:r w:rsidRPr="0036283B">
        <w:rPr>
          <w:rFonts w:ascii="Century Gothic" w:hAnsi="Century Gothic" w:cs="Arial"/>
          <w:color w:val="000000"/>
          <w:lang w:eastAsia="es-MX"/>
        </w:rPr>
        <w:t xml:space="preserve">,  </w:t>
      </w:r>
      <w:r w:rsidRPr="0036283B">
        <w:rPr>
          <w:rFonts w:ascii="Century Gothic" w:hAnsi="Century Gothic" w:cs="Arial"/>
          <w:b/>
          <w:color w:val="000000"/>
          <w:lang w:eastAsia="es-MX"/>
        </w:rPr>
        <w:t>la innovación tecnológica</w:t>
      </w:r>
      <w:r w:rsidRPr="0036283B">
        <w:rPr>
          <w:rFonts w:ascii="Century Gothic" w:hAnsi="Century Gothic" w:cs="Arial"/>
          <w:color w:val="000000"/>
          <w:lang w:eastAsia="es-MX"/>
        </w:rPr>
        <w:t xml:space="preserve"> y protagonismo esencial de las personas hacen que la protección de la privacidad cobre un papel relevante. La información de los ciudadanos necesaria para verificar los servicios ofrecidos y quien los ofrece, la necesidad de llevar a cabo las transacciones entre los mismos, la confluencia de diferentes responsables del tratamiento y escenarios, el flujo de datos entre plataforma y usuarios, entre otros factores y circunstancias, hacen que deban perfilarse los procedimientos y criterios en materia de protección de datos que garanticen, entre otros, los principios de calidad, confidencialidad y seguridad de los datos, propulsando el uso ético y responsable de los datos, buscando el equilibrio entre lo tecnológicamente posible y, lo social y jurídicamente aceptable, desde el ente público que administra y posee una gran cantidad de ellos.</w:t>
      </w:r>
    </w:p>
    <w:p w:rsidR="00311A64" w:rsidRPr="0036283B" w:rsidRDefault="00DF7D3C" w:rsidP="0036283B">
      <w:pPr>
        <w:spacing w:beforeAutospacing="1" w:afterAutospacing="1" w:line="360" w:lineRule="auto"/>
        <w:ind w:right="42" w:firstLine="851"/>
        <w:jc w:val="both"/>
        <w:textAlignment w:val="baseline"/>
        <w:rPr>
          <w:rFonts w:ascii="Century Gothic" w:hAnsi="Century Gothic" w:cs="Arial"/>
          <w:color w:val="000000"/>
          <w:lang w:eastAsia="es-MX"/>
        </w:rPr>
      </w:pPr>
      <w:r w:rsidRPr="0036283B">
        <w:rPr>
          <w:rFonts w:ascii="Century Gothic" w:hAnsi="Century Gothic" w:cs="Arial"/>
          <w:b/>
          <w:color w:val="000000"/>
          <w:lang w:eastAsia="es-MX"/>
        </w:rPr>
        <w:lastRenderedPageBreak/>
        <w:t>Cuarto.-</w:t>
      </w:r>
      <w:r w:rsidRPr="0036283B">
        <w:rPr>
          <w:rFonts w:ascii="Century Gothic" w:hAnsi="Century Gothic" w:cs="Arial"/>
          <w:color w:val="000000"/>
          <w:lang w:eastAsia="es-MX"/>
        </w:rPr>
        <w:t xml:space="preserve"> El derecho de acceso a la información y la protección de los datos personales deben adaptarse a los nuevos tiempos, deben innovarse en la adopción de modelos y medidas, legitimando el uso, control y manejo de información reservada y/o confidencial, equilibrando los intereses, derechos y obligaciones en un sistema moderno y transparente.</w:t>
      </w:r>
    </w:p>
    <w:p w:rsidR="00311A64" w:rsidRPr="0036283B" w:rsidRDefault="00DF7D3C" w:rsidP="0036283B">
      <w:pPr>
        <w:spacing w:beforeAutospacing="1" w:afterAutospacing="1" w:line="360" w:lineRule="auto"/>
        <w:ind w:left="284" w:right="42" w:firstLine="425"/>
        <w:jc w:val="both"/>
        <w:textAlignment w:val="baseline"/>
        <w:rPr>
          <w:rFonts w:ascii="Century Gothic" w:hAnsi="Century Gothic" w:cs="Arial"/>
          <w:color w:val="000000"/>
          <w:lang w:eastAsia="es-MX"/>
        </w:rPr>
      </w:pPr>
      <w:r w:rsidRPr="0036283B">
        <w:rPr>
          <w:rFonts w:ascii="Century Gothic" w:hAnsi="Century Gothic" w:cs="Arial"/>
          <w:color w:val="000000"/>
          <w:lang w:eastAsia="es-MX"/>
        </w:rPr>
        <w:t>Por lo anterior se emite la siguiente</w:t>
      </w:r>
    </w:p>
    <w:p w:rsidR="00311A64" w:rsidRPr="0036283B" w:rsidRDefault="00DF7D3C" w:rsidP="0036283B">
      <w:pPr>
        <w:spacing w:beforeAutospacing="1" w:afterAutospacing="1" w:line="360" w:lineRule="auto"/>
        <w:ind w:left="284" w:right="42" w:firstLine="425"/>
        <w:jc w:val="center"/>
        <w:textAlignment w:val="baseline"/>
        <w:rPr>
          <w:rFonts w:ascii="Century Gothic" w:hAnsi="Century Gothic" w:cs="Arial"/>
          <w:b/>
          <w:color w:val="000000"/>
          <w:lang w:eastAsia="es-MX"/>
        </w:rPr>
      </w:pPr>
      <w:r w:rsidRPr="0036283B">
        <w:rPr>
          <w:rFonts w:ascii="Century Gothic" w:hAnsi="Century Gothic" w:cs="Arial"/>
          <w:b/>
          <w:color w:val="000000"/>
          <w:lang w:eastAsia="es-MX"/>
        </w:rPr>
        <w:t>RECOMENDACIÓN:</w:t>
      </w:r>
    </w:p>
    <w:p w:rsidR="00311A64" w:rsidRPr="0036283B" w:rsidRDefault="00DF7D3C" w:rsidP="00215FE4">
      <w:pPr>
        <w:spacing w:line="360" w:lineRule="auto"/>
        <w:ind w:firstLine="709"/>
        <w:jc w:val="both"/>
        <w:rPr>
          <w:rFonts w:ascii="Century Gothic" w:hAnsi="Century Gothic"/>
          <w:color w:val="000000"/>
        </w:rPr>
      </w:pPr>
      <w:r w:rsidRPr="0036283B">
        <w:rPr>
          <w:rFonts w:ascii="Century Gothic" w:hAnsi="Century Gothic" w:cs="Arial"/>
          <w:b/>
          <w:color w:val="000000"/>
        </w:rPr>
        <w:t xml:space="preserve">    Primera.- </w:t>
      </w:r>
      <w:r w:rsidRPr="0036283B">
        <w:rPr>
          <w:rFonts w:ascii="Century Gothic" w:hAnsi="Century Gothic" w:cs="Arial"/>
          <w:color w:val="000000"/>
        </w:rPr>
        <w:t xml:space="preserve"> La presente Recomendación tiene por objeto establecer las  pautas que permitan el Empleo Responsable de las cuentas oficiales de redes sociales de los sujetos obligados previstos en la Ley de Transparencia y Acceso a la Información Pública del Estado de Jalisco y sus municipios</w:t>
      </w:r>
    </w:p>
    <w:p w:rsidR="00311A64" w:rsidRPr="0036283B" w:rsidRDefault="00DF7D3C" w:rsidP="00FD225B">
      <w:pPr>
        <w:spacing w:line="360" w:lineRule="auto"/>
        <w:ind w:left="851"/>
        <w:jc w:val="both"/>
        <w:rPr>
          <w:rFonts w:ascii="Century Gothic" w:hAnsi="Century Gothic"/>
          <w:color w:val="000000"/>
        </w:rPr>
      </w:pPr>
      <w:r w:rsidRPr="0036283B">
        <w:rPr>
          <w:rFonts w:ascii="Century Gothic" w:hAnsi="Century Gothic" w:cs="Arial"/>
          <w:b/>
          <w:color w:val="000000"/>
        </w:rPr>
        <w:t>Segunda.-</w:t>
      </w:r>
      <w:r w:rsidRPr="0036283B">
        <w:rPr>
          <w:rFonts w:ascii="Century Gothic" w:hAnsi="Century Gothic" w:cs="Arial"/>
          <w:color w:val="000000"/>
        </w:rPr>
        <w:t xml:space="preserve"> Para los efectos de la presente</w:t>
      </w:r>
      <w:r w:rsidR="00215FE4">
        <w:rPr>
          <w:rFonts w:ascii="Century Gothic" w:hAnsi="Century Gothic" w:cs="Arial"/>
          <w:color w:val="000000"/>
        </w:rPr>
        <w:t xml:space="preserve"> Recomendación, se entenderá</w:t>
      </w:r>
      <w:r w:rsidRPr="0036283B">
        <w:rPr>
          <w:rFonts w:ascii="Century Gothic" w:hAnsi="Century Gothic" w:cs="Arial"/>
          <w:color w:val="000000"/>
        </w:rPr>
        <w:t xml:space="preserve">: </w:t>
      </w:r>
    </w:p>
    <w:p w:rsidR="00311A64" w:rsidRPr="0036283B" w:rsidRDefault="00DF7D3C" w:rsidP="00FD225B">
      <w:pPr>
        <w:spacing w:line="360" w:lineRule="auto"/>
        <w:ind w:left="708"/>
        <w:jc w:val="both"/>
        <w:rPr>
          <w:rFonts w:ascii="Century Gothic" w:hAnsi="Century Gothic"/>
          <w:color w:val="000000"/>
        </w:rPr>
      </w:pPr>
      <w:r w:rsidRPr="008304BA">
        <w:rPr>
          <w:rFonts w:ascii="Century Gothic" w:hAnsi="Century Gothic" w:cs="Arial"/>
          <w:b/>
          <w:color w:val="000000"/>
        </w:rPr>
        <w:t>Empleo Responsable:</w:t>
      </w:r>
      <w:r w:rsidRPr="0036283B">
        <w:rPr>
          <w:rFonts w:ascii="Century Gothic" w:hAnsi="Century Gothic" w:cs="Arial"/>
          <w:color w:val="000000"/>
        </w:rPr>
        <w:t xml:space="preserve"> al uso de las cuentas oficiales de redes sociales de los sujetos obligados, apegado a los principios de licitud, confidencialidad, consentimiento, información, finalidad, lealtad, proporcionalidad y responsabilidad, así como todas aquellas medidas necesarias para el manejo, mantenimiento, seguridad y protección de la información reservada y confidencial en su posesión. </w:t>
      </w:r>
    </w:p>
    <w:p w:rsidR="0036283B" w:rsidRPr="0036283B" w:rsidRDefault="00DF7D3C" w:rsidP="00215FE4">
      <w:pPr>
        <w:spacing w:line="360" w:lineRule="auto"/>
        <w:ind w:firstLine="851"/>
        <w:jc w:val="both"/>
        <w:rPr>
          <w:rFonts w:ascii="Century Gothic" w:hAnsi="Century Gothic"/>
          <w:color w:val="000000"/>
        </w:rPr>
      </w:pPr>
      <w:r w:rsidRPr="0036283B">
        <w:rPr>
          <w:rFonts w:ascii="Century Gothic" w:hAnsi="Century Gothic" w:cs="Arial"/>
          <w:b/>
          <w:color w:val="000000"/>
        </w:rPr>
        <w:t>Tercero.-</w:t>
      </w:r>
      <w:r w:rsidRPr="0036283B">
        <w:rPr>
          <w:rFonts w:ascii="Century Gothic" w:hAnsi="Century Gothic" w:cs="Arial"/>
          <w:color w:val="000000"/>
        </w:rPr>
        <w:t xml:space="preserve">  Con relación al principio de licitud, lealtad, información y proporcionalidad, se recomienda: </w:t>
      </w:r>
    </w:p>
    <w:p w:rsidR="00FD225B" w:rsidRPr="00FD225B" w:rsidRDefault="00DF7D3C" w:rsidP="00215FE4">
      <w:pPr>
        <w:ind w:firstLine="565"/>
        <w:jc w:val="both"/>
        <w:rPr>
          <w:rFonts w:ascii="Century Gothic" w:hAnsi="Century Gothic"/>
          <w:color w:val="000000"/>
        </w:rPr>
      </w:pPr>
      <w:r w:rsidRPr="0036283B">
        <w:rPr>
          <w:rFonts w:ascii="Century Gothic" w:hAnsi="Century Gothic" w:cs="Arial"/>
          <w:color w:val="000000"/>
        </w:rPr>
        <w:t xml:space="preserve">Evitar, en la medida de lo posible, el uso de las cuentas de redes sociales para recolectar información confidencial o reservada. </w:t>
      </w:r>
    </w:p>
    <w:p w:rsidR="00AF488A" w:rsidRDefault="00DF7D3C" w:rsidP="00215FE4">
      <w:pPr>
        <w:spacing w:line="360" w:lineRule="auto"/>
        <w:ind w:firstLine="567"/>
        <w:jc w:val="both"/>
        <w:rPr>
          <w:rFonts w:ascii="Century Gothic" w:hAnsi="Century Gothic" w:cs="Arial"/>
          <w:color w:val="000000"/>
        </w:rPr>
      </w:pPr>
      <w:r w:rsidRPr="0036283B">
        <w:rPr>
          <w:rFonts w:ascii="Century Gothic" w:hAnsi="Century Gothic" w:cs="Arial"/>
          <w:color w:val="000000"/>
        </w:rPr>
        <w:t xml:space="preserve">No incrustar enlaces que </w:t>
      </w:r>
      <w:proofErr w:type="spellStart"/>
      <w:r w:rsidRPr="0036283B">
        <w:rPr>
          <w:rFonts w:ascii="Century Gothic" w:hAnsi="Century Gothic" w:cs="Arial"/>
          <w:color w:val="000000"/>
        </w:rPr>
        <w:t>redireccionen</w:t>
      </w:r>
      <w:proofErr w:type="spellEnd"/>
      <w:r w:rsidRPr="0036283B">
        <w:rPr>
          <w:rFonts w:ascii="Century Gothic" w:hAnsi="Century Gothic" w:cs="Arial"/>
          <w:color w:val="000000"/>
        </w:rPr>
        <w:t xml:space="preserve"> a sitios web o aplicaciones externas de encuestas o formularios que tengan como objetivo la recolección de información confidencial o reservada, salvo que los medios legales o reglamentarios de cada sujeto obligado así lo determinen. En todo caso, se deberá contar con el aviso de confidencialidad</w:t>
      </w:r>
      <w:r w:rsidR="005644DE" w:rsidRPr="0036283B">
        <w:rPr>
          <w:rFonts w:ascii="Century Gothic" w:hAnsi="Century Gothic" w:cs="Arial"/>
          <w:color w:val="000000"/>
        </w:rPr>
        <w:t xml:space="preserve"> o documento,</w:t>
      </w:r>
      <w:r w:rsidRPr="0036283B">
        <w:rPr>
          <w:rFonts w:ascii="Century Gothic" w:hAnsi="Century Gothic" w:cs="Arial"/>
          <w:color w:val="000000"/>
        </w:rPr>
        <w:t xml:space="preserve"> el cual deberá ser </w:t>
      </w:r>
      <w:r w:rsidRPr="0036283B">
        <w:rPr>
          <w:rFonts w:ascii="Century Gothic" w:hAnsi="Century Gothic" w:cs="Arial"/>
          <w:color w:val="000000"/>
        </w:rPr>
        <w:lastRenderedPageBreak/>
        <w:t>accesible en el mismo sitio web o aplicación en el que se recolecte datos personales, a fin de que el titular conozca la manera en que puede ejercer sus derechos relativos a la protección de datos</w:t>
      </w:r>
      <w:r w:rsidR="005644DE" w:rsidRPr="0036283B">
        <w:rPr>
          <w:rFonts w:ascii="Century Gothic" w:hAnsi="Century Gothic" w:cs="Arial"/>
          <w:color w:val="000000"/>
        </w:rPr>
        <w:t xml:space="preserve"> (derechos ARCO)</w:t>
      </w:r>
      <w:r w:rsidRPr="0036283B">
        <w:rPr>
          <w:rFonts w:ascii="Century Gothic" w:hAnsi="Century Gothic" w:cs="Arial"/>
          <w:color w:val="000000"/>
        </w:rPr>
        <w:t xml:space="preserve">. </w:t>
      </w:r>
    </w:p>
    <w:p w:rsidR="00311A64" w:rsidRPr="0036283B" w:rsidRDefault="00DF7D3C" w:rsidP="00215FE4">
      <w:pPr>
        <w:spacing w:line="360" w:lineRule="auto"/>
        <w:ind w:firstLine="696"/>
        <w:jc w:val="both"/>
        <w:rPr>
          <w:rFonts w:ascii="Century Gothic" w:hAnsi="Century Gothic"/>
          <w:color w:val="000000"/>
        </w:rPr>
      </w:pPr>
      <w:r w:rsidRPr="0036283B">
        <w:rPr>
          <w:rFonts w:ascii="Century Gothic" w:hAnsi="Century Gothic" w:cs="Arial"/>
          <w:color w:val="000000"/>
        </w:rPr>
        <w:t xml:space="preserve">De igual manera, deberá velarse por la seguridad de la información, cerciorándose de que los proveedores de servicios externos de encuestas o formularios, cuenten con </w:t>
      </w:r>
      <w:r w:rsidRPr="0036283B">
        <w:rPr>
          <w:rFonts w:ascii="Century Gothic" w:hAnsi="Century Gothic" w:cs="Arial"/>
          <w:b/>
          <w:color w:val="000000"/>
        </w:rPr>
        <w:t>certificaciones</w:t>
      </w:r>
      <w:r w:rsidRPr="0036283B">
        <w:rPr>
          <w:rFonts w:ascii="Century Gothic" w:hAnsi="Century Gothic" w:cs="Arial"/>
          <w:color w:val="000000"/>
        </w:rPr>
        <w:t xml:space="preserve"> que garanticen que no se hará mal uso de la información y los datos personales alojados en ellas. </w:t>
      </w:r>
    </w:p>
    <w:p w:rsidR="00311A64" w:rsidRPr="0036283B" w:rsidRDefault="00DF7D3C" w:rsidP="00215FE4">
      <w:pPr>
        <w:spacing w:line="360" w:lineRule="auto"/>
        <w:ind w:firstLine="696"/>
        <w:jc w:val="both"/>
        <w:rPr>
          <w:rFonts w:ascii="Century Gothic" w:hAnsi="Century Gothic"/>
          <w:color w:val="000000"/>
        </w:rPr>
      </w:pPr>
      <w:r w:rsidRPr="0036283B">
        <w:rPr>
          <w:rFonts w:ascii="Century Gothic" w:hAnsi="Century Gothic" w:cs="Arial"/>
          <w:color w:val="000000"/>
        </w:rPr>
        <w:t xml:space="preserve">Cerciorarse, en caso de aplicaciones externas de encuestas o formularios, de que sólo se recabarán los datos personales específicos para cumplir con los propósitos para los cuales fueron recolectados. </w:t>
      </w:r>
    </w:p>
    <w:p w:rsidR="00311A64" w:rsidRPr="0036283B" w:rsidRDefault="00DF7D3C" w:rsidP="00215FE4">
      <w:pPr>
        <w:spacing w:line="360" w:lineRule="auto"/>
        <w:ind w:firstLine="709"/>
        <w:jc w:val="both"/>
        <w:rPr>
          <w:rFonts w:ascii="Century Gothic" w:hAnsi="Century Gothic"/>
          <w:color w:val="000000"/>
        </w:rPr>
      </w:pPr>
      <w:r w:rsidRPr="0036283B">
        <w:rPr>
          <w:rFonts w:ascii="Century Gothic" w:hAnsi="Century Gothic" w:cs="Arial"/>
          <w:b/>
          <w:color w:val="000000"/>
        </w:rPr>
        <w:t>Cuarto.-</w:t>
      </w:r>
      <w:r w:rsidRPr="0036283B">
        <w:rPr>
          <w:rFonts w:ascii="Century Gothic" w:hAnsi="Century Gothic" w:cs="Arial"/>
          <w:color w:val="000000"/>
        </w:rPr>
        <w:t xml:space="preserve"> Con relación al principio de confidencialidad, consentimiento y finalidad, se recomienda: </w:t>
      </w:r>
    </w:p>
    <w:p w:rsidR="00311A64" w:rsidRPr="0036283B" w:rsidRDefault="00DF7D3C" w:rsidP="00215FE4">
      <w:pPr>
        <w:spacing w:line="360" w:lineRule="auto"/>
        <w:ind w:firstLine="696"/>
        <w:jc w:val="both"/>
        <w:rPr>
          <w:rFonts w:ascii="Century Gothic" w:hAnsi="Century Gothic"/>
          <w:color w:val="000000"/>
        </w:rPr>
      </w:pPr>
      <w:r w:rsidRPr="0036283B">
        <w:rPr>
          <w:rFonts w:ascii="Century Gothic" w:hAnsi="Century Gothic" w:cs="Arial"/>
          <w:color w:val="000000"/>
        </w:rPr>
        <w:t xml:space="preserve">No publicar en redes sociales los datos personales en posesión del sujeto obligado, salvo que exista previo consentimiento del titular. </w:t>
      </w:r>
    </w:p>
    <w:p w:rsidR="00311A64" w:rsidRPr="0036283B" w:rsidRDefault="00DF7D3C" w:rsidP="00215FE4">
      <w:pPr>
        <w:spacing w:line="360" w:lineRule="auto"/>
        <w:ind w:firstLine="696"/>
        <w:jc w:val="both"/>
        <w:rPr>
          <w:rFonts w:ascii="Century Gothic" w:hAnsi="Century Gothic"/>
          <w:color w:val="000000"/>
        </w:rPr>
      </w:pPr>
      <w:r w:rsidRPr="0036283B">
        <w:rPr>
          <w:rFonts w:ascii="Century Gothic" w:hAnsi="Century Gothic" w:cs="Arial"/>
          <w:color w:val="000000"/>
        </w:rPr>
        <w:t xml:space="preserve">No publicar datos personales, imágenes, registros de voz o video, que puedan afectar la intimidad, así como la integridad física y psicológica de las personas. Especialmente, se recomienda que en las cuentas oficiales de redes sociales de las autoridades de seguridad pública, se evite publicar fotografías, registros de voz o video de los </w:t>
      </w:r>
      <w:r w:rsidRPr="0036283B">
        <w:rPr>
          <w:rFonts w:ascii="Century Gothic" w:hAnsi="Century Gothic" w:cs="Arial"/>
          <w:b/>
          <w:color w:val="000000"/>
        </w:rPr>
        <w:t>probables responsables</w:t>
      </w:r>
      <w:r w:rsidRPr="0036283B">
        <w:rPr>
          <w:rFonts w:ascii="Century Gothic" w:hAnsi="Century Gothic" w:cs="Arial"/>
          <w:color w:val="000000"/>
        </w:rPr>
        <w:t xml:space="preserve"> de algún delito</w:t>
      </w:r>
      <w:r w:rsidR="00AF488A">
        <w:rPr>
          <w:rFonts w:ascii="Century Gothic" w:hAnsi="Century Gothic" w:cs="Arial"/>
          <w:color w:val="000000"/>
        </w:rPr>
        <w:t>, siempre y cuando no existan las causas de excepción, para lo que deberá existir la fu</w:t>
      </w:r>
      <w:r w:rsidR="004C4E6B">
        <w:rPr>
          <w:rFonts w:ascii="Century Gothic" w:hAnsi="Century Gothic" w:cs="Arial"/>
          <w:color w:val="000000"/>
        </w:rPr>
        <w:t>ndamentación y motivación sobre la publicación que se realice</w:t>
      </w:r>
      <w:r w:rsidRPr="0036283B">
        <w:rPr>
          <w:rFonts w:ascii="Century Gothic" w:hAnsi="Century Gothic" w:cs="Arial"/>
          <w:color w:val="000000"/>
        </w:rPr>
        <w:t>.</w:t>
      </w:r>
    </w:p>
    <w:p w:rsidR="00311A64" w:rsidRPr="0036283B" w:rsidRDefault="00DF7D3C" w:rsidP="00215FE4">
      <w:pPr>
        <w:spacing w:line="360" w:lineRule="auto"/>
        <w:ind w:firstLine="696"/>
        <w:jc w:val="both"/>
        <w:rPr>
          <w:rFonts w:ascii="Century Gothic" w:hAnsi="Century Gothic"/>
          <w:color w:val="000000"/>
        </w:rPr>
      </w:pPr>
      <w:r w:rsidRPr="0036283B">
        <w:rPr>
          <w:rFonts w:ascii="Century Gothic" w:hAnsi="Century Gothic" w:cs="Arial"/>
          <w:color w:val="000000"/>
        </w:rPr>
        <w:t xml:space="preserve">Tratar los datos personales exclusivamente para la finalidad que fueron obtenidos. Este punto supone que ningún sujeto obligado deberá publicar datos personales, fotografías, registros de voz o video que contengan datos personales en redes sociales, salvo que éstos hayan sido obtenidos para dicha finalidad. </w:t>
      </w:r>
    </w:p>
    <w:p w:rsidR="00311A64" w:rsidRPr="0036283B" w:rsidRDefault="00DF7D3C" w:rsidP="00215FE4">
      <w:pPr>
        <w:spacing w:line="360" w:lineRule="auto"/>
        <w:ind w:firstLine="709"/>
        <w:jc w:val="both"/>
        <w:rPr>
          <w:rFonts w:ascii="Century Gothic" w:hAnsi="Century Gothic"/>
          <w:color w:val="000000"/>
        </w:rPr>
      </w:pPr>
      <w:r w:rsidRPr="0036283B">
        <w:rPr>
          <w:rFonts w:ascii="Century Gothic" w:hAnsi="Century Gothic" w:cs="Arial"/>
          <w:color w:val="000000"/>
        </w:rPr>
        <w:t xml:space="preserve">No publicar en redes sociales los sistemas de información confidencial, o partes de los mismos, que estén en posesión del sujeto obligado. </w:t>
      </w:r>
    </w:p>
    <w:p w:rsidR="00311A64" w:rsidRPr="0036283B" w:rsidRDefault="00DF7D3C" w:rsidP="00215FE4">
      <w:pPr>
        <w:spacing w:line="360" w:lineRule="auto"/>
        <w:ind w:firstLine="696"/>
        <w:jc w:val="both"/>
        <w:rPr>
          <w:rFonts w:ascii="Century Gothic" w:hAnsi="Century Gothic"/>
          <w:color w:val="6666FF"/>
        </w:rPr>
      </w:pPr>
      <w:r w:rsidRPr="0036283B">
        <w:rPr>
          <w:rFonts w:ascii="Century Gothic" w:hAnsi="Century Gothic" w:cs="Arial"/>
          <w:color w:val="000000"/>
        </w:rPr>
        <w:lastRenderedPageBreak/>
        <w:t xml:space="preserve">No permitir a los titulares el acceso a sus datos personales a través de mensajes privados de redes sociales, salvo que los medios legales o reglamentarios de cada sujeto obligado así lo dispongan, previa solicitud de acceso por parte del titular. </w:t>
      </w:r>
    </w:p>
    <w:p w:rsidR="00311A64" w:rsidRPr="0036283B" w:rsidRDefault="00DF7D3C" w:rsidP="0036283B">
      <w:pPr>
        <w:spacing w:line="360" w:lineRule="auto"/>
        <w:jc w:val="both"/>
        <w:rPr>
          <w:rFonts w:ascii="Century Gothic" w:hAnsi="Century Gothic"/>
          <w:color w:val="000000"/>
        </w:rPr>
      </w:pPr>
      <w:r w:rsidRPr="0036283B">
        <w:rPr>
          <w:rFonts w:ascii="Century Gothic" w:hAnsi="Century Gothic" w:cs="Arial"/>
          <w:color w:val="000000"/>
        </w:rPr>
        <w:tab/>
      </w:r>
      <w:r w:rsidRPr="0036283B">
        <w:rPr>
          <w:rFonts w:ascii="Century Gothic" w:hAnsi="Century Gothic" w:cs="Arial"/>
          <w:b/>
          <w:color w:val="000000"/>
        </w:rPr>
        <w:t>Quinto.-</w:t>
      </w:r>
      <w:r w:rsidRPr="0036283B">
        <w:rPr>
          <w:rFonts w:ascii="Century Gothic" w:hAnsi="Century Gothic" w:cs="Arial"/>
          <w:color w:val="000000"/>
        </w:rPr>
        <w:t xml:space="preserve"> Con relación al principio de calidad, se recomienda</w:t>
      </w:r>
    </w:p>
    <w:p w:rsidR="00311A64" w:rsidRPr="0036283B" w:rsidRDefault="00DF7D3C" w:rsidP="00215FE4">
      <w:pPr>
        <w:spacing w:line="360" w:lineRule="auto"/>
        <w:ind w:firstLine="696"/>
        <w:jc w:val="both"/>
        <w:rPr>
          <w:rFonts w:ascii="Century Gothic" w:hAnsi="Century Gothic"/>
          <w:color w:val="000000"/>
        </w:rPr>
      </w:pPr>
      <w:r w:rsidRPr="0036283B">
        <w:rPr>
          <w:rFonts w:ascii="Century Gothic" w:hAnsi="Century Gothic" w:cs="Arial"/>
          <w:color w:val="000000"/>
        </w:rPr>
        <w:t xml:space="preserve">Corregir o eliminar, en parte o todos, los datos personales, así como fotografías, registros de audio o video que puedan afectar la intimidad o la integridad física o psicológica de la persona, que hayan sido publicados en las redes sociales, en caso de que el titular así lo disponga, previa solicitud de corrección o cancelación de datos realizada al sujeto obligado </w:t>
      </w:r>
    </w:p>
    <w:p w:rsidR="00311A64" w:rsidRPr="0036283B" w:rsidRDefault="00DF7D3C" w:rsidP="0036283B">
      <w:pPr>
        <w:spacing w:line="360" w:lineRule="auto"/>
        <w:jc w:val="both"/>
        <w:rPr>
          <w:rFonts w:ascii="Century Gothic" w:hAnsi="Century Gothic"/>
          <w:color w:val="000000"/>
        </w:rPr>
      </w:pPr>
      <w:r w:rsidRPr="0036283B">
        <w:rPr>
          <w:rFonts w:ascii="Century Gothic" w:hAnsi="Century Gothic" w:cs="Arial"/>
          <w:color w:val="000000"/>
        </w:rPr>
        <w:tab/>
      </w:r>
      <w:r w:rsidRPr="0036283B">
        <w:rPr>
          <w:rFonts w:ascii="Century Gothic" w:hAnsi="Century Gothic" w:cs="Arial"/>
          <w:b/>
          <w:color w:val="000000"/>
        </w:rPr>
        <w:t>Sexto.-</w:t>
      </w:r>
      <w:r w:rsidRPr="0036283B">
        <w:rPr>
          <w:rFonts w:ascii="Century Gothic" w:hAnsi="Century Gothic" w:cs="Arial"/>
          <w:color w:val="000000"/>
        </w:rPr>
        <w:t xml:space="preserve"> Con relación al principio de Responsabilidad, se recomienda: </w:t>
      </w:r>
    </w:p>
    <w:p w:rsidR="00AF488A" w:rsidRDefault="00DF7D3C" w:rsidP="00215FE4">
      <w:pPr>
        <w:spacing w:line="360" w:lineRule="auto"/>
        <w:ind w:firstLine="696"/>
        <w:jc w:val="both"/>
        <w:rPr>
          <w:rFonts w:ascii="Century Gothic" w:hAnsi="Century Gothic" w:cs="Arial"/>
          <w:color w:val="000000"/>
        </w:rPr>
      </w:pPr>
      <w:r w:rsidRPr="0036283B">
        <w:rPr>
          <w:rFonts w:ascii="Century Gothic" w:hAnsi="Century Gothic" w:cs="Arial"/>
          <w:color w:val="000000"/>
        </w:rPr>
        <w:t xml:space="preserve">Elegir contraseñas seguras para las cuentas de redes sociales a fin de dificultar los accesos no autorizados a las mismas. Un acceso no autorizado podría suponer que las cuentas de redes sociales sean utilizadas para recabar de manera ilegal datos personales, así como para divulgar información reservada y confidencial con los riesgos que ello implica. </w:t>
      </w:r>
    </w:p>
    <w:p w:rsidR="0036283B" w:rsidRPr="0036283B" w:rsidRDefault="00DF7D3C" w:rsidP="00215FE4">
      <w:pPr>
        <w:spacing w:line="360" w:lineRule="auto"/>
        <w:ind w:firstLine="696"/>
        <w:jc w:val="both"/>
        <w:rPr>
          <w:rFonts w:ascii="Century Gothic" w:hAnsi="Century Gothic"/>
          <w:color w:val="000000"/>
        </w:rPr>
      </w:pPr>
      <w:r w:rsidRPr="0036283B">
        <w:rPr>
          <w:rFonts w:ascii="Century Gothic" w:hAnsi="Century Gothic" w:cs="Arial"/>
          <w:color w:val="000000"/>
        </w:rPr>
        <w:t xml:space="preserve">Asimismo, y en caso de utilizar diversas cuentas de redes sociales, se recomienda que ninguna contraseña sea similar y que las mismas se actualicen con regularidad. </w:t>
      </w:r>
    </w:p>
    <w:p w:rsidR="0036283B" w:rsidRPr="0036283B" w:rsidRDefault="00DF7D3C" w:rsidP="00215FE4">
      <w:pPr>
        <w:spacing w:line="360" w:lineRule="auto"/>
        <w:ind w:firstLine="696"/>
        <w:jc w:val="both"/>
        <w:rPr>
          <w:rFonts w:ascii="Century Gothic" w:hAnsi="Century Gothic" w:cs="Arial"/>
          <w:color w:val="000000"/>
        </w:rPr>
      </w:pPr>
      <w:r w:rsidRPr="0036283B">
        <w:rPr>
          <w:rFonts w:ascii="Century Gothic" w:hAnsi="Century Gothic" w:cs="Arial"/>
          <w:color w:val="000000"/>
        </w:rPr>
        <w:t>Designar la gestión y el empleo de las cuentas de redes sociales a quien dé garantía de que las mismas no se emplearan de forma contraria a lo señalado por el sujeto obligado</w:t>
      </w:r>
      <w:r w:rsidR="008304BA">
        <w:rPr>
          <w:rFonts w:ascii="Century Gothic" w:hAnsi="Century Gothic" w:cs="Arial"/>
          <w:color w:val="000000"/>
        </w:rPr>
        <w:t>, asegurándose del debido resguardo de la información contenida</w:t>
      </w:r>
      <w:r w:rsidRPr="0036283B">
        <w:rPr>
          <w:rFonts w:ascii="Century Gothic" w:hAnsi="Century Gothic" w:cs="Arial"/>
          <w:color w:val="000000"/>
        </w:rPr>
        <w:t xml:space="preserve">. </w:t>
      </w:r>
    </w:p>
    <w:p w:rsidR="004A22DA" w:rsidRDefault="004A22DA" w:rsidP="0036283B">
      <w:pPr>
        <w:pStyle w:val="Sinespaciado"/>
        <w:spacing w:line="360" w:lineRule="auto"/>
        <w:jc w:val="center"/>
        <w:rPr>
          <w:rFonts w:ascii="Century Gothic" w:hAnsi="Century Gothic"/>
          <w:color w:val="000000"/>
        </w:rPr>
      </w:pPr>
    </w:p>
    <w:p w:rsidR="004A22DA" w:rsidRDefault="004A22DA" w:rsidP="0036283B">
      <w:pPr>
        <w:pStyle w:val="Sinespaciado"/>
        <w:spacing w:line="360" w:lineRule="auto"/>
        <w:jc w:val="center"/>
        <w:rPr>
          <w:rFonts w:ascii="Century Gothic" w:hAnsi="Century Gothic"/>
          <w:color w:val="000000"/>
        </w:rPr>
      </w:pPr>
    </w:p>
    <w:p w:rsidR="004A22DA" w:rsidRDefault="004A22DA" w:rsidP="0036283B">
      <w:pPr>
        <w:pStyle w:val="Sinespaciado"/>
        <w:spacing w:line="360" w:lineRule="auto"/>
        <w:jc w:val="center"/>
        <w:rPr>
          <w:rFonts w:ascii="Century Gothic" w:hAnsi="Century Gothic"/>
          <w:color w:val="000000"/>
        </w:rPr>
      </w:pPr>
    </w:p>
    <w:p w:rsidR="004A22DA" w:rsidRDefault="004A22DA" w:rsidP="0036283B">
      <w:pPr>
        <w:pStyle w:val="Sinespaciado"/>
        <w:spacing w:line="360" w:lineRule="auto"/>
        <w:jc w:val="center"/>
        <w:rPr>
          <w:rFonts w:ascii="Century Gothic" w:hAnsi="Century Gothic"/>
          <w:color w:val="000000"/>
        </w:rPr>
      </w:pPr>
    </w:p>
    <w:p w:rsidR="004A22DA" w:rsidRDefault="004A22DA" w:rsidP="0036283B">
      <w:pPr>
        <w:pStyle w:val="Sinespaciado"/>
        <w:spacing w:line="360" w:lineRule="auto"/>
        <w:jc w:val="center"/>
        <w:rPr>
          <w:rFonts w:ascii="Century Gothic" w:hAnsi="Century Gothic"/>
          <w:color w:val="000000"/>
        </w:rPr>
      </w:pPr>
    </w:p>
    <w:p w:rsidR="004A22DA" w:rsidRDefault="004A22DA" w:rsidP="0036283B">
      <w:pPr>
        <w:pStyle w:val="Sinespaciado"/>
        <w:spacing w:line="360" w:lineRule="auto"/>
        <w:jc w:val="center"/>
        <w:rPr>
          <w:rFonts w:ascii="Century Gothic" w:hAnsi="Century Gothic"/>
          <w:color w:val="000000"/>
        </w:rPr>
      </w:pPr>
    </w:p>
    <w:p w:rsidR="0036283B" w:rsidRPr="0036283B" w:rsidRDefault="00DF7D3C" w:rsidP="0036283B">
      <w:pPr>
        <w:pStyle w:val="Sinespaciado"/>
        <w:spacing w:line="360" w:lineRule="auto"/>
        <w:jc w:val="center"/>
        <w:rPr>
          <w:rFonts w:ascii="Century Gothic" w:hAnsi="Century Gothic" w:cs="Arial"/>
          <w:b/>
          <w:color w:val="222222"/>
          <w:shd w:val="clear" w:color="auto" w:fill="FFFFFF"/>
        </w:rPr>
      </w:pPr>
      <w:r w:rsidRPr="0036283B">
        <w:rPr>
          <w:rFonts w:ascii="Century Gothic" w:hAnsi="Century Gothic"/>
          <w:color w:val="000000"/>
        </w:rPr>
        <w:br/>
      </w:r>
      <w:r w:rsidR="0036283B" w:rsidRPr="0036283B">
        <w:rPr>
          <w:rFonts w:ascii="Century Gothic" w:hAnsi="Century Gothic" w:cs="Arial"/>
          <w:b/>
          <w:color w:val="222222"/>
          <w:shd w:val="clear" w:color="auto" w:fill="FFFFFF"/>
        </w:rPr>
        <w:t>TRANSITORIOS</w:t>
      </w:r>
    </w:p>
    <w:p w:rsidR="0036283B" w:rsidRPr="0036283B" w:rsidRDefault="0036283B" w:rsidP="0036283B">
      <w:pPr>
        <w:pStyle w:val="Sinespaciado"/>
        <w:spacing w:line="360" w:lineRule="auto"/>
        <w:jc w:val="center"/>
        <w:rPr>
          <w:rFonts w:ascii="Century Gothic" w:hAnsi="Century Gothic" w:cs="Arial"/>
          <w:b/>
          <w:color w:val="222222"/>
          <w:shd w:val="clear" w:color="auto" w:fill="FFFFFF"/>
        </w:rPr>
      </w:pPr>
    </w:p>
    <w:p w:rsidR="0036283B" w:rsidRPr="0036283B" w:rsidRDefault="0036283B" w:rsidP="00215FE4">
      <w:pPr>
        <w:pStyle w:val="Sinespaciado"/>
        <w:spacing w:line="360" w:lineRule="auto"/>
        <w:ind w:firstLine="708"/>
        <w:jc w:val="both"/>
        <w:rPr>
          <w:rFonts w:ascii="Century Gothic" w:hAnsi="Century Gothic" w:cs="Arial"/>
          <w:color w:val="222222"/>
          <w:shd w:val="clear" w:color="auto" w:fill="FFFFFF"/>
        </w:rPr>
      </w:pPr>
      <w:r>
        <w:rPr>
          <w:rFonts w:ascii="Century Gothic" w:hAnsi="Century Gothic" w:cs="Arial"/>
          <w:b/>
          <w:color w:val="222222"/>
          <w:shd w:val="clear" w:color="auto" w:fill="FFFFFF"/>
        </w:rPr>
        <w:t>UNICO</w:t>
      </w:r>
      <w:r w:rsidRPr="0036283B">
        <w:rPr>
          <w:rFonts w:ascii="Century Gothic" w:hAnsi="Century Gothic" w:cs="Arial"/>
          <w:b/>
          <w:color w:val="222222"/>
          <w:shd w:val="clear" w:color="auto" w:fill="FFFFFF"/>
        </w:rPr>
        <w:t xml:space="preserve">.- </w:t>
      </w:r>
      <w:r>
        <w:rPr>
          <w:rFonts w:ascii="Century Gothic" w:hAnsi="Century Gothic" w:cs="Arial"/>
          <w:color w:val="222222"/>
          <w:shd w:val="clear" w:color="auto" w:fill="FFFFFF"/>
        </w:rPr>
        <w:t>La</w:t>
      </w:r>
      <w:r w:rsidRPr="0036283B">
        <w:rPr>
          <w:rFonts w:ascii="Century Gothic" w:hAnsi="Century Gothic" w:cs="Arial"/>
          <w:color w:val="222222"/>
          <w:shd w:val="clear" w:color="auto" w:fill="FFFFFF"/>
        </w:rPr>
        <w:t xml:space="preserve"> presente </w:t>
      </w:r>
      <w:r>
        <w:rPr>
          <w:rFonts w:ascii="Century Gothic" w:hAnsi="Century Gothic" w:cs="Arial"/>
          <w:color w:val="222222"/>
          <w:shd w:val="clear" w:color="auto" w:fill="FFFFFF"/>
        </w:rPr>
        <w:t xml:space="preserve">Recomendación tendrá efectos vinculantes para el mejor cumplimiento de la ley, al siguiente </w:t>
      </w:r>
      <w:r w:rsidR="009F5CD2">
        <w:rPr>
          <w:rFonts w:ascii="Century Gothic" w:hAnsi="Century Gothic" w:cs="Arial"/>
          <w:color w:val="222222"/>
          <w:shd w:val="clear" w:color="auto" w:fill="FFFFFF"/>
        </w:rPr>
        <w:t xml:space="preserve">día </w:t>
      </w:r>
      <w:bookmarkStart w:id="0" w:name="_GoBack"/>
      <w:bookmarkEnd w:id="0"/>
      <w:r>
        <w:rPr>
          <w:rFonts w:ascii="Century Gothic" w:hAnsi="Century Gothic" w:cs="Arial"/>
          <w:color w:val="222222"/>
          <w:shd w:val="clear" w:color="auto" w:fill="FFFFFF"/>
        </w:rPr>
        <w:t>de su publicación en el Periódico Oficial del Estado de Jalisco y la página de Internet del Instituto.</w:t>
      </w:r>
    </w:p>
    <w:p w:rsidR="0036283B" w:rsidRPr="0036283B" w:rsidRDefault="0036283B" w:rsidP="0036283B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36283B" w:rsidRPr="0036283B" w:rsidRDefault="0036283B" w:rsidP="0036283B">
      <w:pPr>
        <w:pStyle w:val="Sinespaciado"/>
        <w:spacing w:line="360" w:lineRule="auto"/>
        <w:ind w:firstLine="708"/>
        <w:jc w:val="both"/>
        <w:rPr>
          <w:rFonts w:ascii="Century Gothic" w:hAnsi="Century Gothic"/>
        </w:rPr>
      </w:pPr>
      <w:r w:rsidRPr="0036283B">
        <w:rPr>
          <w:rFonts w:ascii="Century Gothic" w:hAnsi="Century Gothic"/>
        </w:rPr>
        <w:t xml:space="preserve">Así lo acordó el </w:t>
      </w:r>
      <w:r w:rsidR="009F5CD2">
        <w:rPr>
          <w:rFonts w:ascii="Century Gothic" w:hAnsi="Century Gothic"/>
        </w:rPr>
        <w:t xml:space="preserve">Pleno del Instituto de Transparencia, </w:t>
      </w:r>
      <w:r w:rsidRPr="0036283B">
        <w:rPr>
          <w:rFonts w:ascii="Century Gothic" w:hAnsi="Century Gothic"/>
        </w:rPr>
        <w:t xml:space="preserve"> Información Pública</w:t>
      </w:r>
      <w:r w:rsidR="009F5CD2">
        <w:rPr>
          <w:rFonts w:ascii="Century Gothic" w:hAnsi="Century Gothic"/>
        </w:rPr>
        <w:t xml:space="preserve"> y Protección de Datos Personales</w:t>
      </w:r>
      <w:r w:rsidRPr="0036283B">
        <w:rPr>
          <w:rFonts w:ascii="Century Gothic" w:hAnsi="Century Gothic"/>
        </w:rPr>
        <w:t xml:space="preserve"> de</w:t>
      </w:r>
      <w:r w:rsidR="009F5CD2">
        <w:rPr>
          <w:rFonts w:ascii="Century Gothic" w:hAnsi="Century Gothic"/>
        </w:rPr>
        <w:t>l Estado de</w:t>
      </w:r>
      <w:r w:rsidRPr="0036283B">
        <w:rPr>
          <w:rFonts w:ascii="Century Gothic" w:hAnsi="Century Gothic"/>
        </w:rPr>
        <w:t xml:space="preserve"> Jalisco, en la </w:t>
      </w:r>
      <w:r w:rsidRPr="0036283B">
        <w:rPr>
          <w:rFonts w:ascii="Century Gothic" w:hAnsi="Century Gothic"/>
          <w:b/>
        </w:rPr>
        <w:t xml:space="preserve"> </w:t>
      </w:r>
      <w:r w:rsidR="00656359">
        <w:rPr>
          <w:rFonts w:ascii="Century Gothic" w:hAnsi="Century Gothic"/>
          <w:b/>
        </w:rPr>
        <w:t>D</w:t>
      </w:r>
      <w:r w:rsidR="004A22DA">
        <w:rPr>
          <w:rFonts w:ascii="Century Gothic" w:hAnsi="Century Gothic"/>
          <w:b/>
        </w:rPr>
        <w:t xml:space="preserve">écima </w:t>
      </w:r>
      <w:r w:rsidR="00656359">
        <w:rPr>
          <w:rFonts w:ascii="Century Gothic" w:hAnsi="Century Gothic"/>
          <w:b/>
        </w:rPr>
        <w:t>P</w:t>
      </w:r>
      <w:r w:rsidR="004A22DA">
        <w:rPr>
          <w:rFonts w:ascii="Century Gothic" w:hAnsi="Century Gothic"/>
          <w:b/>
        </w:rPr>
        <w:t>rimera</w:t>
      </w:r>
      <w:r w:rsidR="00656359">
        <w:rPr>
          <w:rFonts w:ascii="Century Gothic" w:hAnsi="Century Gothic"/>
        </w:rPr>
        <w:t xml:space="preserve"> Sesión O</w:t>
      </w:r>
      <w:r w:rsidRPr="0036283B">
        <w:rPr>
          <w:rFonts w:ascii="Century Gothic" w:hAnsi="Century Gothic"/>
        </w:rPr>
        <w:t>rdinaria</w:t>
      </w:r>
      <w:r w:rsidR="004A22DA">
        <w:rPr>
          <w:rFonts w:ascii="Century Gothic" w:hAnsi="Century Gothic"/>
        </w:rPr>
        <w:t xml:space="preserve"> de fecha </w:t>
      </w:r>
      <w:r w:rsidR="00FD225B">
        <w:rPr>
          <w:rFonts w:ascii="Century Gothic" w:hAnsi="Century Gothic"/>
        </w:rPr>
        <w:t xml:space="preserve">6 de </w:t>
      </w:r>
      <w:r w:rsidR="004A22DA">
        <w:rPr>
          <w:rFonts w:ascii="Century Gothic" w:hAnsi="Century Gothic"/>
        </w:rPr>
        <w:t>abril de</w:t>
      </w:r>
      <w:r w:rsidR="00FD225B">
        <w:rPr>
          <w:rFonts w:ascii="Century Gothic" w:hAnsi="Century Gothic"/>
        </w:rPr>
        <w:t xml:space="preserve"> 2016</w:t>
      </w:r>
      <w:r w:rsidRPr="0036283B">
        <w:rPr>
          <w:rFonts w:ascii="Century Gothic" w:hAnsi="Century Gothic"/>
        </w:rPr>
        <w:t>, ante el Secretario Ejecutivo quien certifica y da fe.</w:t>
      </w:r>
    </w:p>
    <w:p w:rsidR="0036283B" w:rsidRDefault="0036283B" w:rsidP="0036283B">
      <w:pPr>
        <w:pStyle w:val="Normal1"/>
        <w:tabs>
          <w:tab w:val="left" w:pos="360"/>
          <w:tab w:val="left" w:pos="7371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9E48BE" w:rsidRDefault="009E48BE" w:rsidP="0036283B">
      <w:pPr>
        <w:pStyle w:val="Normal1"/>
        <w:tabs>
          <w:tab w:val="left" w:pos="360"/>
          <w:tab w:val="left" w:pos="7371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9E48BE" w:rsidRPr="0036283B" w:rsidRDefault="009E48BE" w:rsidP="0036283B">
      <w:pPr>
        <w:pStyle w:val="Normal1"/>
        <w:tabs>
          <w:tab w:val="left" w:pos="360"/>
          <w:tab w:val="left" w:pos="7371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6283B" w:rsidRPr="0036283B" w:rsidRDefault="0036283B" w:rsidP="0036283B">
      <w:pPr>
        <w:pStyle w:val="Normal1"/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36283B" w:rsidRPr="0036283B" w:rsidRDefault="0036283B" w:rsidP="0036283B">
      <w:pPr>
        <w:pStyle w:val="Normal1"/>
        <w:spacing w:line="360" w:lineRule="auto"/>
        <w:rPr>
          <w:rFonts w:ascii="Century Gothic" w:hAnsi="Century Gothic"/>
          <w:sz w:val="22"/>
          <w:szCs w:val="22"/>
        </w:rPr>
      </w:pPr>
      <w:r w:rsidRPr="0036283B">
        <w:rPr>
          <w:rFonts w:ascii="Century Gothic" w:eastAsia="Arial" w:hAnsi="Century Gothic" w:cs="Arial"/>
          <w:b/>
          <w:sz w:val="22"/>
          <w:szCs w:val="22"/>
        </w:rPr>
        <w:t xml:space="preserve">                                      Cynthia Patricia Cantero Pacheco.</w:t>
      </w:r>
    </w:p>
    <w:p w:rsidR="0036283B" w:rsidRPr="0036283B" w:rsidRDefault="0036283B" w:rsidP="0036283B">
      <w:pPr>
        <w:pStyle w:val="Normal1"/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36283B">
        <w:rPr>
          <w:rFonts w:ascii="Century Gothic" w:eastAsia="Arial" w:hAnsi="Century Gothic" w:cs="Arial"/>
          <w:b/>
          <w:sz w:val="22"/>
          <w:szCs w:val="22"/>
        </w:rPr>
        <w:t>Presidenta del Pleno</w:t>
      </w:r>
    </w:p>
    <w:p w:rsidR="0036283B" w:rsidRDefault="0036283B" w:rsidP="0036283B">
      <w:pPr>
        <w:pStyle w:val="Normal1"/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9E48BE" w:rsidRPr="0036283B" w:rsidRDefault="009E48BE" w:rsidP="0036283B">
      <w:pPr>
        <w:pStyle w:val="Normal1"/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9E48BE" w:rsidRDefault="009E48BE" w:rsidP="0036283B">
      <w:pPr>
        <w:pStyle w:val="Normal1"/>
        <w:spacing w:line="360" w:lineRule="auto"/>
        <w:rPr>
          <w:rFonts w:ascii="Century Gothic" w:hAnsi="Century Gothic"/>
          <w:sz w:val="22"/>
          <w:szCs w:val="22"/>
        </w:rPr>
      </w:pPr>
    </w:p>
    <w:p w:rsidR="0036283B" w:rsidRPr="0036283B" w:rsidRDefault="0036283B" w:rsidP="0036283B">
      <w:pPr>
        <w:pStyle w:val="Normal1"/>
        <w:spacing w:line="360" w:lineRule="auto"/>
        <w:rPr>
          <w:rFonts w:ascii="Century Gothic" w:hAnsi="Century Gothic"/>
          <w:sz w:val="22"/>
          <w:szCs w:val="22"/>
        </w:rPr>
      </w:pPr>
      <w:r w:rsidRPr="0036283B">
        <w:rPr>
          <w:rFonts w:ascii="Century Gothic" w:eastAsia="Arial" w:hAnsi="Century Gothic" w:cs="Arial"/>
          <w:b/>
          <w:sz w:val="22"/>
          <w:szCs w:val="22"/>
        </w:rPr>
        <w:t xml:space="preserve">Francisco Javier González Vallejo                      </w:t>
      </w:r>
      <w:r w:rsidR="00FD225B">
        <w:rPr>
          <w:rFonts w:ascii="Century Gothic" w:eastAsia="Arial" w:hAnsi="Century Gothic" w:cs="Arial"/>
          <w:b/>
          <w:sz w:val="22"/>
          <w:szCs w:val="22"/>
        </w:rPr>
        <w:t xml:space="preserve">           </w:t>
      </w:r>
      <w:r w:rsidRPr="0036283B">
        <w:rPr>
          <w:rFonts w:ascii="Century Gothic" w:eastAsia="Arial" w:hAnsi="Century Gothic" w:cs="Arial"/>
          <w:b/>
          <w:sz w:val="22"/>
          <w:szCs w:val="22"/>
        </w:rPr>
        <w:t xml:space="preserve"> Pedro Vicente Viveros Reyes </w:t>
      </w:r>
    </w:p>
    <w:p w:rsidR="0036283B" w:rsidRPr="0036283B" w:rsidRDefault="0036283B" w:rsidP="0036283B">
      <w:pPr>
        <w:pStyle w:val="Normal1"/>
        <w:spacing w:line="360" w:lineRule="auto"/>
        <w:ind w:firstLine="708"/>
        <w:rPr>
          <w:rFonts w:ascii="Century Gothic" w:hAnsi="Century Gothic"/>
          <w:sz w:val="22"/>
          <w:szCs w:val="22"/>
        </w:rPr>
      </w:pPr>
      <w:r w:rsidRPr="0036283B">
        <w:rPr>
          <w:rFonts w:ascii="Century Gothic" w:eastAsia="Arial" w:hAnsi="Century Gothic" w:cs="Arial"/>
          <w:b/>
          <w:sz w:val="22"/>
          <w:szCs w:val="22"/>
        </w:rPr>
        <w:t>Comisionado Titular</w:t>
      </w:r>
      <w:r w:rsidRPr="0036283B">
        <w:rPr>
          <w:rFonts w:ascii="Century Gothic" w:eastAsia="Arial" w:hAnsi="Century Gothic" w:cs="Arial"/>
          <w:b/>
          <w:sz w:val="22"/>
          <w:szCs w:val="22"/>
        </w:rPr>
        <w:tab/>
      </w:r>
      <w:r w:rsidRPr="0036283B">
        <w:rPr>
          <w:rFonts w:ascii="Century Gothic" w:eastAsia="Arial" w:hAnsi="Century Gothic" w:cs="Arial"/>
          <w:b/>
          <w:sz w:val="22"/>
          <w:szCs w:val="22"/>
        </w:rPr>
        <w:tab/>
      </w:r>
      <w:r w:rsidRPr="0036283B">
        <w:rPr>
          <w:rFonts w:ascii="Century Gothic" w:eastAsia="Arial" w:hAnsi="Century Gothic" w:cs="Arial"/>
          <w:b/>
          <w:sz w:val="22"/>
          <w:szCs w:val="22"/>
        </w:rPr>
        <w:tab/>
      </w:r>
      <w:r w:rsidR="00FD225B">
        <w:rPr>
          <w:rFonts w:ascii="Century Gothic" w:eastAsia="Arial" w:hAnsi="Century Gothic" w:cs="Arial"/>
          <w:b/>
          <w:sz w:val="22"/>
          <w:szCs w:val="22"/>
        </w:rPr>
        <w:t xml:space="preserve">                                </w:t>
      </w:r>
      <w:r w:rsidRPr="0036283B">
        <w:rPr>
          <w:rFonts w:ascii="Century Gothic" w:eastAsia="Arial" w:hAnsi="Century Gothic" w:cs="Arial"/>
          <w:b/>
          <w:sz w:val="22"/>
          <w:szCs w:val="22"/>
        </w:rPr>
        <w:t>Comisionado Titular</w:t>
      </w:r>
    </w:p>
    <w:p w:rsidR="0036283B" w:rsidRDefault="0036283B" w:rsidP="0036283B">
      <w:pPr>
        <w:pStyle w:val="Normal1"/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9E48BE" w:rsidRDefault="009E48BE" w:rsidP="0036283B">
      <w:pPr>
        <w:pStyle w:val="Normal1"/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9E48BE" w:rsidRPr="0036283B" w:rsidRDefault="009E48BE" w:rsidP="0036283B">
      <w:pPr>
        <w:pStyle w:val="Normal1"/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36283B" w:rsidRPr="0036283B" w:rsidRDefault="0036283B" w:rsidP="0036283B">
      <w:pPr>
        <w:pStyle w:val="Normal1"/>
        <w:spacing w:line="360" w:lineRule="auto"/>
        <w:ind w:right="44"/>
        <w:jc w:val="center"/>
        <w:rPr>
          <w:rFonts w:ascii="Century Gothic" w:hAnsi="Century Gothic"/>
          <w:sz w:val="22"/>
          <w:szCs w:val="22"/>
        </w:rPr>
      </w:pPr>
      <w:r w:rsidRPr="0036283B">
        <w:rPr>
          <w:rFonts w:ascii="Century Gothic" w:eastAsia="Arial" w:hAnsi="Century Gothic" w:cs="Arial"/>
          <w:b/>
          <w:sz w:val="22"/>
          <w:szCs w:val="22"/>
        </w:rPr>
        <w:t>Miguel Ángel Hernández Velázquez.</w:t>
      </w:r>
    </w:p>
    <w:p w:rsidR="0036283B" w:rsidRPr="0036283B" w:rsidRDefault="0036283B" w:rsidP="0036283B">
      <w:pPr>
        <w:pStyle w:val="Normal1"/>
        <w:spacing w:line="360" w:lineRule="auto"/>
        <w:ind w:left="2832" w:right="-493" w:firstLine="708"/>
        <w:rPr>
          <w:rFonts w:ascii="Century Gothic" w:hAnsi="Century Gothic" w:cs="Arial"/>
          <w:bCs/>
          <w:sz w:val="22"/>
          <w:szCs w:val="22"/>
          <w:lang w:val="es-ES_tradnl"/>
        </w:rPr>
      </w:pPr>
      <w:r w:rsidRPr="0036283B">
        <w:rPr>
          <w:rFonts w:ascii="Century Gothic" w:eastAsia="Arial" w:hAnsi="Century Gothic" w:cs="Arial"/>
          <w:b/>
          <w:sz w:val="22"/>
          <w:szCs w:val="22"/>
        </w:rPr>
        <w:t>Secretario Ejecutivo</w:t>
      </w:r>
    </w:p>
    <w:p w:rsidR="00311A64" w:rsidRPr="008F49A9" w:rsidRDefault="008F49A9" w:rsidP="008F49A9">
      <w:pPr>
        <w:spacing w:line="360" w:lineRule="auto"/>
        <w:jc w:val="both"/>
        <w:rPr>
          <w:rFonts w:ascii="Century Gothic" w:hAnsi="Century Gothic"/>
          <w:color w:val="000000"/>
          <w:sz w:val="14"/>
          <w:szCs w:val="14"/>
        </w:rPr>
      </w:pPr>
      <w:r w:rsidRPr="008F49A9">
        <w:rPr>
          <w:rFonts w:ascii="Century Gothic" w:hAnsi="Century Gothic"/>
          <w:color w:val="000000"/>
          <w:sz w:val="14"/>
          <w:szCs w:val="14"/>
        </w:rPr>
        <w:t>MAVP</w:t>
      </w:r>
    </w:p>
    <w:sectPr w:rsidR="00311A64" w:rsidRPr="008F49A9" w:rsidSect="009E48BE">
      <w:headerReference w:type="default" r:id="rId9"/>
      <w:footerReference w:type="default" r:id="rId10"/>
      <w:pgSz w:w="12240" w:h="15840"/>
      <w:pgMar w:top="1956" w:right="1701" w:bottom="709" w:left="1701" w:header="56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DC" w:rsidRDefault="00803BDC">
      <w:pPr>
        <w:spacing w:after="0" w:line="240" w:lineRule="auto"/>
      </w:pPr>
      <w:r>
        <w:separator/>
      </w:r>
    </w:p>
  </w:endnote>
  <w:endnote w:type="continuationSeparator" w:id="0">
    <w:p w:rsidR="00803BDC" w:rsidRDefault="0080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794398"/>
      <w:docPartObj>
        <w:docPartGallery w:val="Page Numbers (Bottom of Page)"/>
        <w:docPartUnique/>
      </w:docPartObj>
    </w:sdtPr>
    <w:sdtEndPr/>
    <w:sdtContent>
      <w:p w:rsidR="004A22DA" w:rsidRDefault="004A22D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CD2" w:rsidRPr="009F5CD2">
          <w:rPr>
            <w:noProof/>
            <w:lang w:val="es-ES"/>
          </w:rPr>
          <w:t>6</w:t>
        </w:r>
        <w:r>
          <w:fldChar w:fldCharType="end"/>
        </w:r>
      </w:p>
    </w:sdtContent>
  </w:sdt>
  <w:p w:rsidR="004A22DA" w:rsidRDefault="004A22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DC" w:rsidRDefault="00803BDC">
      <w:pPr>
        <w:spacing w:after="0" w:line="240" w:lineRule="auto"/>
      </w:pPr>
      <w:r>
        <w:separator/>
      </w:r>
    </w:p>
  </w:footnote>
  <w:footnote w:type="continuationSeparator" w:id="0">
    <w:p w:rsidR="00803BDC" w:rsidRDefault="0080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64" w:rsidRDefault="00FD225B">
    <w:pPr>
      <w:pStyle w:val="Encabezamiento"/>
    </w:pPr>
    <w:r>
      <w:rPr>
        <w:rFonts w:ascii="Calibri Light" w:eastAsia="Times New Roman" w:hAnsi="Calibri Light" w:cs="Arial Narrow"/>
        <w:noProof/>
        <w:color w:val="auto"/>
        <w:sz w:val="28"/>
        <w:szCs w:val="28"/>
        <w:lang w:eastAsia="es-MX"/>
      </w:rPr>
      <w:drawing>
        <wp:inline distT="0" distB="0" distL="0" distR="0">
          <wp:extent cx="1562100" cy="971550"/>
          <wp:effectExtent l="19050" t="0" r="0" b="0"/>
          <wp:docPr id="7" name="Imagen 7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_2016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109"/>
    <w:multiLevelType w:val="multilevel"/>
    <w:tmpl w:val="B99C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8E8624E"/>
    <w:multiLevelType w:val="multilevel"/>
    <w:tmpl w:val="3830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1A17422"/>
    <w:multiLevelType w:val="multilevel"/>
    <w:tmpl w:val="F9E2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1BA248D"/>
    <w:multiLevelType w:val="multilevel"/>
    <w:tmpl w:val="C7CE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AB46F44"/>
    <w:multiLevelType w:val="multilevel"/>
    <w:tmpl w:val="90F6A9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64"/>
    <w:rsid w:val="00043876"/>
    <w:rsid w:val="000B4FD3"/>
    <w:rsid w:val="001A228D"/>
    <w:rsid w:val="00215FE4"/>
    <w:rsid w:val="00311A64"/>
    <w:rsid w:val="0036283B"/>
    <w:rsid w:val="00362979"/>
    <w:rsid w:val="003A7601"/>
    <w:rsid w:val="004A22DA"/>
    <w:rsid w:val="004C4E6B"/>
    <w:rsid w:val="00513DAF"/>
    <w:rsid w:val="005644DE"/>
    <w:rsid w:val="00656359"/>
    <w:rsid w:val="007967C5"/>
    <w:rsid w:val="00803BDC"/>
    <w:rsid w:val="008304BA"/>
    <w:rsid w:val="0086304C"/>
    <w:rsid w:val="008F49A9"/>
    <w:rsid w:val="009E48BE"/>
    <w:rsid w:val="009F5CD2"/>
    <w:rsid w:val="00AF488A"/>
    <w:rsid w:val="00B126A1"/>
    <w:rsid w:val="00C769FC"/>
    <w:rsid w:val="00D26D3F"/>
    <w:rsid w:val="00D97C15"/>
    <w:rsid w:val="00DF7D3C"/>
    <w:rsid w:val="00F8201E"/>
    <w:rsid w:val="00FD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inespaciado">
    <w:name w:val="No Spacing"/>
    <w:uiPriority w:val="1"/>
    <w:qFormat/>
    <w:rsid w:val="0099208D"/>
    <w:pPr>
      <w:spacing w:line="240" w:lineRule="auto"/>
    </w:pPr>
    <w:rPr>
      <w:color w:val="00000A"/>
      <w:sz w:val="22"/>
    </w:rPr>
  </w:style>
  <w:style w:type="paragraph" w:customStyle="1" w:styleId="Encabezamiento">
    <w:name w:val="Encabezamiento"/>
    <w:basedOn w:val="Normal"/>
  </w:style>
  <w:style w:type="paragraph" w:customStyle="1" w:styleId="Normal1">
    <w:name w:val="Normal1"/>
    <w:rsid w:val="0036283B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D22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25B"/>
    <w:rPr>
      <w:color w:val="00000A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25B"/>
    <w:rPr>
      <w:rFonts w:ascii="Tahoma" w:hAnsi="Tahoma" w:cs="Tahoma"/>
      <w:color w:val="00000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5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inespaciado">
    <w:name w:val="No Spacing"/>
    <w:uiPriority w:val="1"/>
    <w:qFormat/>
    <w:rsid w:val="0099208D"/>
    <w:pPr>
      <w:spacing w:line="240" w:lineRule="auto"/>
    </w:pPr>
    <w:rPr>
      <w:color w:val="00000A"/>
      <w:sz w:val="22"/>
    </w:rPr>
  </w:style>
  <w:style w:type="paragraph" w:customStyle="1" w:styleId="Encabezamiento">
    <w:name w:val="Encabezamiento"/>
    <w:basedOn w:val="Normal"/>
  </w:style>
  <w:style w:type="paragraph" w:customStyle="1" w:styleId="Normal1">
    <w:name w:val="Normal1"/>
    <w:rsid w:val="0036283B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D22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25B"/>
    <w:rPr>
      <w:color w:val="00000A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25B"/>
    <w:rPr>
      <w:rFonts w:ascii="Tahoma" w:hAnsi="Tahoma" w:cs="Tahoma"/>
      <w:color w:val="00000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C9C4-65CB-4742-B908-3D35F8F8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1554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Vazquez Placencia</dc:creator>
  <cp:lastModifiedBy>Miguel Angel Vazquez Placencia</cp:lastModifiedBy>
  <cp:revision>4</cp:revision>
  <cp:lastPrinted>2016-04-01T19:07:00Z</cp:lastPrinted>
  <dcterms:created xsi:type="dcterms:W3CDTF">2016-04-01T18:53:00Z</dcterms:created>
  <dcterms:modified xsi:type="dcterms:W3CDTF">2016-04-01T19:11:00Z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