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7" w:rsidRPr="003A3240" w:rsidRDefault="00E667E3" w:rsidP="00E667E3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 w:rsidRPr="003A3240">
        <w:rPr>
          <w:noProof/>
          <w:sz w:val="40"/>
          <w:szCs w:val="40"/>
          <w:lang w:val="es-ES" w:eastAsia="es-ES"/>
        </w:rPr>
        <w:drawing>
          <wp:inline distT="0" distB="0" distL="0" distR="0" wp14:anchorId="78F61611" wp14:editId="13B9788C">
            <wp:extent cx="1741170" cy="13169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87" w:rsidRPr="003A3240" w:rsidRDefault="005C0387" w:rsidP="00E667E3">
      <w:pPr>
        <w:autoSpaceDE w:val="0"/>
        <w:autoSpaceDN w:val="0"/>
        <w:adjustRightInd w:val="0"/>
        <w:spacing w:after="0" w:line="360" w:lineRule="auto"/>
        <w:jc w:val="center"/>
        <w:rPr>
          <w:rFonts w:ascii="ArialNarrow-Bold" w:hAnsi="ArialNarrow-Bold" w:cs="ArialNarrow-Bold"/>
          <w:bCs/>
          <w:sz w:val="40"/>
          <w:szCs w:val="40"/>
        </w:rPr>
      </w:pPr>
      <w:r w:rsidRPr="003A3240">
        <w:rPr>
          <w:rFonts w:ascii="ArialNarrow-Bold" w:hAnsi="ArialNarrow-Bold" w:cs="ArialNarrow-Bold"/>
          <w:bCs/>
          <w:sz w:val="40"/>
          <w:szCs w:val="40"/>
        </w:rPr>
        <w:t>SÉPTIMO FORO DE ANÁLISIS NACIONAL:</w:t>
      </w:r>
    </w:p>
    <w:p w:rsidR="005C0387" w:rsidRPr="003A3240" w:rsidRDefault="005C0387" w:rsidP="00E667E3">
      <w:pPr>
        <w:autoSpaceDE w:val="0"/>
        <w:autoSpaceDN w:val="0"/>
        <w:adjustRightInd w:val="0"/>
        <w:spacing w:after="0" w:line="360" w:lineRule="auto"/>
        <w:jc w:val="center"/>
        <w:rPr>
          <w:rFonts w:ascii="ArialNarrow" w:hAnsi="ArialNarrow" w:cs="ArialNarrow"/>
          <w:sz w:val="40"/>
          <w:szCs w:val="40"/>
        </w:rPr>
      </w:pPr>
      <w:r w:rsidRPr="003A3240">
        <w:rPr>
          <w:rFonts w:ascii="ArialNarrow" w:hAnsi="ArialNarrow" w:cs="ArialNarrow"/>
          <w:sz w:val="40"/>
          <w:szCs w:val="40"/>
        </w:rPr>
        <w:t>LA REFORMA CONSTITUCIONAL EN MATERIA DE TRANSPARENCIA Y</w:t>
      </w:r>
      <w:r w:rsidR="003A3240" w:rsidRPr="003A3240">
        <w:rPr>
          <w:rFonts w:ascii="ArialNarrow" w:hAnsi="ArialNarrow" w:cs="ArialNarrow"/>
          <w:sz w:val="40"/>
          <w:szCs w:val="40"/>
        </w:rPr>
        <w:t xml:space="preserve"> ACCESO A LA INFORMACIÓN PÚBLICA EN MÉXICO</w:t>
      </w:r>
    </w:p>
    <w:p w:rsidR="00E12866" w:rsidRPr="004975DE" w:rsidRDefault="00E12866" w:rsidP="00E667E3">
      <w:pPr>
        <w:spacing w:line="360" w:lineRule="auto"/>
        <w:rPr>
          <w:rFonts w:ascii="Arial" w:hAnsi="Arial" w:cs="Arial"/>
          <w:sz w:val="24"/>
          <w:szCs w:val="24"/>
        </w:rPr>
      </w:pPr>
    </w:p>
    <w:p w:rsidR="005C0387" w:rsidRDefault="005C0387" w:rsidP="00E667E3">
      <w:pPr>
        <w:spacing w:line="360" w:lineRule="auto"/>
        <w:rPr>
          <w:rFonts w:ascii="Arial" w:hAnsi="Arial" w:cs="Arial"/>
          <w:sz w:val="24"/>
          <w:szCs w:val="24"/>
        </w:rPr>
      </w:pPr>
    </w:p>
    <w:p w:rsidR="00E12866" w:rsidRPr="004975DE" w:rsidRDefault="00A51CDA" w:rsidP="007F2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3: Características deseables de la ley general de transparencia e información pública y de protección de datos personales en posesión del sector público mexicano y su impacto como mecanismos anticorrupción.</w:t>
      </w:r>
    </w:p>
    <w:p w:rsidR="00E12866" w:rsidRDefault="00E12866" w:rsidP="007F2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5DE">
        <w:rPr>
          <w:rFonts w:ascii="Arial" w:hAnsi="Arial" w:cs="Arial"/>
          <w:sz w:val="24"/>
          <w:szCs w:val="24"/>
        </w:rPr>
        <w:t>Subtema: C1 Homologar los supuestos de infracciones, sanciones respectivas y las facultades sancionadoras de los órganos garantes hacia los sujetos obligados por el incumplimiento de las disposiciones legales.</w:t>
      </w:r>
    </w:p>
    <w:p w:rsidR="005C0387" w:rsidRDefault="005C0387" w:rsidP="00E667E3">
      <w:pPr>
        <w:spacing w:line="360" w:lineRule="auto"/>
        <w:rPr>
          <w:rFonts w:ascii="Arial" w:hAnsi="Arial" w:cs="Arial"/>
          <w:sz w:val="24"/>
          <w:szCs w:val="24"/>
        </w:rPr>
      </w:pPr>
    </w:p>
    <w:p w:rsidR="005C0387" w:rsidRDefault="005C0387" w:rsidP="00E667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 LCTC María de Lourdes López Salas</w:t>
      </w:r>
    </w:p>
    <w:p w:rsidR="005C0387" w:rsidRDefault="005C0387" w:rsidP="00E667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Comisionada</w:t>
      </w:r>
    </w:p>
    <w:p w:rsidR="00E667E3" w:rsidRDefault="005C0387" w:rsidP="00E667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Estatal para la Transparencia y Acceso a la Información Pública de Durango, CETAIP</w:t>
      </w:r>
    </w:p>
    <w:p w:rsidR="00E667E3" w:rsidRDefault="00E667E3" w:rsidP="00E667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C038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31BE9F3" wp14:editId="50EAE1D9">
            <wp:extent cx="1316139" cy="555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139" cy="5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07" w:rsidRDefault="00E8450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Uno de los propósitos de</w:t>
      </w:r>
      <w:r w:rsidR="00A51CDA">
        <w:rPr>
          <w:rFonts w:ascii="Arial" w:hAnsi="Arial" w:cs="Arial"/>
          <w:sz w:val="24"/>
          <w:szCs w:val="24"/>
        </w:rPr>
        <w:t xml:space="preserve"> la reforma constitucional de</w:t>
      </w:r>
      <w:r w:rsidR="005C0387">
        <w:rPr>
          <w:rFonts w:ascii="Arial" w:hAnsi="Arial" w:cs="Arial"/>
          <w:sz w:val="24"/>
          <w:szCs w:val="24"/>
        </w:rPr>
        <w:t xml:space="preserve"> 2007 en materia de </w:t>
      </w:r>
      <w:r w:rsidR="00A51CDA">
        <w:rPr>
          <w:rFonts w:ascii="Arial" w:hAnsi="Arial" w:cs="Arial"/>
          <w:sz w:val="24"/>
          <w:szCs w:val="24"/>
        </w:rPr>
        <w:t>Derecho de Acceso a la Inform</w:t>
      </w:r>
      <w:r w:rsidR="004526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ción, fue establecer las condiciones mínimas y </w:t>
      </w:r>
      <w:r w:rsidRPr="003A3240">
        <w:rPr>
          <w:rFonts w:ascii="Arial" w:hAnsi="Arial" w:cs="Arial"/>
          <w:sz w:val="24"/>
          <w:szCs w:val="24"/>
        </w:rPr>
        <w:t xml:space="preserve">homologar </w:t>
      </w:r>
      <w:r w:rsidR="007F295C" w:rsidRPr="003A3240">
        <w:rPr>
          <w:rFonts w:ascii="Arial" w:hAnsi="Arial" w:cs="Arial"/>
          <w:sz w:val="24"/>
          <w:szCs w:val="24"/>
        </w:rPr>
        <w:t xml:space="preserve">las bases a las que debieron </w:t>
      </w:r>
      <w:r w:rsidRPr="003A3240">
        <w:rPr>
          <w:rFonts w:ascii="Arial" w:hAnsi="Arial" w:cs="Arial"/>
          <w:sz w:val="24"/>
          <w:szCs w:val="24"/>
        </w:rPr>
        <w:t xml:space="preserve">sujetarse </w:t>
      </w:r>
      <w:r>
        <w:rPr>
          <w:rFonts w:ascii="Arial" w:hAnsi="Arial" w:cs="Arial"/>
          <w:sz w:val="24"/>
          <w:szCs w:val="24"/>
        </w:rPr>
        <w:t>las legislaciones estatales.</w:t>
      </w:r>
    </w:p>
    <w:p w:rsidR="00E84507" w:rsidRDefault="00E8450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derivada de la disparidad identificada en la primera generación de leyes de transparencia.</w:t>
      </w:r>
    </w:p>
    <w:p w:rsidR="00F77331" w:rsidRDefault="00E8450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apartados que deberían incluir las normas estatales después de la reforma const</w:t>
      </w:r>
      <w:r w:rsidR="007245C8">
        <w:rPr>
          <w:rFonts w:ascii="Arial" w:hAnsi="Arial" w:cs="Arial"/>
          <w:sz w:val="24"/>
          <w:szCs w:val="24"/>
        </w:rPr>
        <w:t xml:space="preserve">itucional del 2007, se ubicó el relativo a las sanciones </w:t>
      </w:r>
      <w:r>
        <w:rPr>
          <w:rFonts w:ascii="Arial" w:hAnsi="Arial" w:cs="Arial"/>
          <w:sz w:val="24"/>
          <w:szCs w:val="24"/>
        </w:rPr>
        <w:t xml:space="preserve">en caso de incumplimiento </w:t>
      </w:r>
      <w:r w:rsidR="00F77331">
        <w:rPr>
          <w:rFonts w:ascii="Arial" w:hAnsi="Arial" w:cs="Arial"/>
          <w:sz w:val="24"/>
          <w:szCs w:val="24"/>
        </w:rPr>
        <w:t>a  las disposiciones de la ley en términos de las fracción VI</w:t>
      </w:r>
      <w:r w:rsidR="007245C8">
        <w:rPr>
          <w:rFonts w:ascii="Arial" w:hAnsi="Arial" w:cs="Arial"/>
          <w:sz w:val="24"/>
          <w:szCs w:val="24"/>
        </w:rPr>
        <w:t xml:space="preserve"> del artículo 6° constitucional.</w:t>
      </w:r>
    </w:p>
    <w:p w:rsidR="00911447" w:rsidRDefault="00F77331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estudio publicado por el Instituto de Investigaciones Jurídicas de la UNAM sobre las leyes de segunda </w:t>
      </w:r>
      <w:r w:rsidR="00911447">
        <w:rPr>
          <w:rFonts w:ascii="Arial" w:hAnsi="Arial" w:cs="Arial"/>
          <w:sz w:val="24"/>
          <w:szCs w:val="24"/>
        </w:rPr>
        <w:t>generación se determinó que todas incluían el apartado de sanciones.</w:t>
      </w:r>
    </w:p>
    <w:p w:rsidR="00E12866" w:rsidRDefault="005833C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revisar algunas de las leyes estatales</w:t>
      </w:r>
      <w:r w:rsidR="000C6007">
        <w:rPr>
          <w:rFonts w:ascii="Arial" w:hAnsi="Arial" w:cs="Arial"/>
          <w:sz w:val="24"/>
          <w:szCs w:val="24"/>
        </w:rPr>
        <w:t xml:space="preserve"> como la de Durango, Yucatán y Nuevo León, </w:t>
      </w:r>
      <w:r>
        <w:rPr>
          <w:rFonts w:ascii="Arial" w:hAnsi="Arial" w:cs="Arial"/>
          <w:sz w:val="24"/>
          <w:szCs w:val="24"/>
        </w:rPr>
        <w:t xml:space="preserve"> se establecen procedimientos diversos de sanciones aplicadas po</w:t>
      </w:r>
      <w:r w:rsidR="000C6007">
        <w:rPr>
          <w:rFonts w:ascii="Arial" w:hAnsi="Arial" w:cs="Arial"/>
          <w:sz w:val="24"/>
          <w:szCs w:val="24"/>
        </w:rPr>
        <w:t>r los órganos garantes a los sujetos obligados que</w:t>
      </w:r>
      <w:r>
        <w:rPr>
          <w:rFonts w:ascii="Arial" w:hAnsi="Arial" w:cs="Arial"/>
          <w:sz w:val="24"/>
          <w:szCs w:val="24"/>
        </w:rPr>
        <w:t xml:space="preserve"> no cumplen con el derecho de acceso a la información.</w:t>
      </w:r>
    </w:p>
    <w:p w:rsidR="002A5380" w:rsidRDefault="005833C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Esas sanciones se remiten a procedimientos administrativos en algunos casos, en otros</w:t>
      </w:r>
      <w:r w:rsidR="00E66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sanciones económicas a los su</w:t>
      </w:r>
      <w:r w:rsidR="007245C8">
        <w:rPr>
          <w:rFonts w:ascii="Arial" w:hAnsi="Arial" w:cs="Arial"/>
          <w:sz w:val="24"/>
          <w:szCs w:val="24"/>
        </w:rPr>
        <w:t>jetos obligados y</w:t>
      </w:r>
      <w:r>
        <w:rPr>
          <w:rFonts w:ascii="Arial" w:hAnsi="Arial" w:cs="Arial"/>
          <w:sz w:val="24"/>
          <w:szCs w:val="24"/>
        </w:rPr>
        <w:t xml:space="preserve"> a funcionarios; amonestaciones privadas o públicas, procedimientos de juicio político y</w:t>
      </w:r>
      <w:r w:rsidR="000C6007">
        <w:rPr>
          <w:rFonts w:ascii="Arial" w:hAnsi="Arial" w:cs="Arial"/>
          <w:sz w:val="24"/>
          <w:szCs w:val="24"/>
        </w:rPr>
        <w:t xml:space="preserve"> en otros más,</w:t>
      </w:r>
      <w:r>
        <w:rPr>
          <w:rFonts w:ascii="Arial" w:hAnsi="Arial" w:cs="Arial"/>
          <w:sz w:val="24"/>
          <w:szCs w:val="24"/>
        </w:rPr>
        <w:t xml:space="preserve"> la falta de cumplimiento es equiparable al abuso de autorida</w:t>
      </w:r>
      <w:r w:rsidR="000C6007">
        <w:rPr>
          <w:rFonts w:ascii="Arial" w:hAnsi="Arial" w:cs="Arial"/>
          <w:sz w:val="24"/>
          <w:szCs w:val="24"/>
        </w:rPr>
        <w:t>d establecida en el código penal.</w:t>
      </w:r>
    </w:p>
    <w:p w:rsidR="00BA1919" w:rsidRDefault="00BA1919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escenario nos lleva a homologa</w:t>
      </w:r>
      <w:r w:rsidRPr="004975DE">
        <w:rPr>
          <w:rFonts w:ascii="Arial" w:hAnsi="Arial" w:cs="Arial"/>
          <w:sz w:val="24"/>
          <w:szCs w:val="24"/>
        </w:rPr>
        <w:t>r los supuestos de infracciones, sanciones respectivas y las facultades sancionadoras de los órganos garantes hacia los sujetos obligados por el incumplimiento de las disposiciones legales.</w:t>
      </w:r>
    </w:p>
    <w:p w:rsidR="00BA1919" w:rsidRDefault="00BA1919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¿Que problemática resuelve la propuesta y como lo hace?</w:t>
      </w:r>
    </w:p>
    <w:p w:rsidR="00E667E3" w:rsidRDefault="00BA1919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es que</w:t>
      </w:r>
      <w:r w:rsidRPr="00BA1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de las características deseables de la ley general de transparencia e información pública, es que se incorpore un apartado </w:t>
      </w:r>
      <w:r w:rsidR="000C6007">
        <w:rPr>
          <w:rFonts w:ascii="Arial" w:hAnsi="Arial" w:cs="Arial"/>
          <w:sz w:val="24"/>
          <w:szCs w:val="24"/>
        </w:rPr>
        <w:t xml:space="preserve">específico </w:t>
      </w:r>
      <w:r>
        <w:rPr>
          <w:rFonts w:ascii="Arial" w:hAnsi="Arial" w:cs="Arial"/>
          <w:sz w:val="24"/>
          <w:szCs w:val="24"/>
        </w:rPr>
        <w:t>de sanciones a los servidores púb</w:t>
      </w:r>
      <w:r w:rsidR="007245C8">
        <w:rPr>
          <w:rFonts w:ascii="Arial" w:hAnsi="Arial" w:cs="Arial"/>
          <w:sz w:val="24"/>
          <w:szCs w:val="24"/>
        </w:rPr>
        <w:t>licos que incumplan con la ley.</w:t>
      </w:r>
    </w:p>
    <w:p w:rsidR="000C6007" w:rsidRDefault="00BA1919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requiere homologar los motivos de la sanción: no </w:t>
      </w:r>
      <w:r w:rsidR="001D4C53">
        <w:rPr>
          <w:rFonts w:ascii="Arial" w:hAnsi="Arial" w:cs="Arial"/>
          <w:sz w:val="24"/>
          <w:szCs w:val="24"/>
        </w:rPr>
        <w:t>entreg</w:t>
      </w:r>
      <w:r w:rsidR="000C6007">
        <w:rPr>
          <w:rFonts w:ascii="Arial" w:hAnsi="Arial" w:cs="Arial"/>
          <w:sz w:val="24"/>
          <w:szCs w:val="24"/>
        </w:rPr>
        <w:t>ar información, destruirla, entregarla incompleta, destruirla, etc.</w:t>
      </w:r>
    </w:p>
    <w:p w:rsidR="00F306DE" w:rsidRDefault="00330C7D" w:rsidP="00E667E3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C6007">
        <w:rPr>
          <w:rFonts w:ascii="Arial" w:hAnsi="Arial" w:cs="Arial"/>
          <w:sz w:val="24"/>
          <w:szCs w:val="24"/>
        </w:rPr>
        <w:t>La propuesta abona al fortalecimiento al derecho de acceso a la información, la transparencia y la rendición de cuentas</w:t>
      </w:r>
      <w:r w:rsidR="00F306DE" w:rsidRPr="000C6007">
        <w:rPr>
          <w:rFonts w:ascii="Arial" w:hAnsi="Arial" w:cs="Arial"/>
          <w:sz w:val="24"/>
          <w:szCs w:val="24"/>
        </w:rPr>
        <w:t xml:space="preserve">, cuando con hechos se incumple con lo dispuesto en la Ley, así mismo a la consolidación de </w:t>
      </w:r>
      <w:r w:rsidRPr="000C6007">
        <w:rPr>
          <w:rFonts w:ascii="Arial" w:hAnsi="Arial" w:cs="Arial"/>
          <w:sz w:val="24"/>
          <w:szCs w:val="24"/>
        </w:rPr>
        <w:t>los órganos garantes, como una forma de respaldar sus resoluciones y determinaciones</w:t>
      </w:r>
      <w:r w:rsidR="00F306DE" w:rsidRPr="000C6007">
        <w:rPr>
          <w:rFonts w:ascii="Arial" w:hAnsi="Arial" w:cs="Arial"/>
          <w:sz w:val="24"/>
          <w:szCs w:val="24"/>
        </w:rPr>
        <w:t>.</w:t>
      </w:r>
    </w:p>
    <w:p w:rsidR="001D4C53" w:rsidRDefault="001D4C53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sanciones:</w:t>
      </w:r>
    </w:p>
    <w:p w:rsidR="00F306DE" w:rsidRPr="00844189" w:rsidRDefault="00F306DE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4189">
        <w:rPr>
          <w:rFonts w:ascii="Arial" w:hAnsi="Arial" w:cs="Arial"/>
          <w:sz w:val="24"/>
          <w:szCs w:val="24"/>
        </w:rPr>
        <w:t xml:space="preserve">De responsabilidad administrativa y/o sanciones económicas a los servidores públicos, </w:t>
      </w:r>
      <w:r w:rsidR="00F97EF1" w:rsidRPr="00844189">
        <w:rPr>
          <w:rFonts w:ascii="Arial" w:hAnsi="Arial" w:cs="Arial"/>
          <w:sz w:val="24"/>
          <w:szCs w:val="24"/>
        </w:rPr>
        <w:t xml:space="preserve">que incumplan con la ley o con las resoluciones del órgano garante, </w:t>
      </w:r>
      <w:r w:rsidRPr="00844189">
        <w:rPr>
          <w:rFonts w:ascii="Arial" w:hAnsi="Arial" w:cs="Arial"/>
          <w:sz w:val="24"/>
          <w:szCs w:val="24"/>
        </w:rPr>
        <w:t xml:space="preserve">con independencia de las </w:t>
      </w:r>
      <w:r w:rsidR="00F97EF1" w:rsidRPr="00844189">
        <w:rPr>
          <w:rFonts w:ascii="Arial" w:hAnsi="Arial" w:cs="Arial"/>
          <w:sz w:val="24"/>
          <w:szCs w:val="24"/>
        </w:rPr>
        <w:t>del orden civil o penal que puedan corresponder</w:t>
      </w:r>
      <w:r w:rsidR="007245C8" w:rsidRPr="00844189">
        <w:rPr>
          <w:rFonts w:ascii="Arial" w:hAnsi="Arial" w:cs="Arial"/>
          <w:sz w:val="24"/>
          <w:szCs w:val="24"/>
        </w:rPr>
        <w:t>.</w:t>
      </w:r>
    </w:p>
    <w:p w:rsidR="00F643BA" w:rsidRDefault="005C038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un piso</w:t>
      </w:r>
      <w:r w:rsidR="001D4C53">
        <w:rPr>
          <w:rFonts w:ascii="Arial" w:hAnsi="Arial" w:cs="Arial"/>
          <w:sz w:val="24"/>
          <w:szCs w:val="24"/>
        </w:rPr>
        <w:t xml:space="preserve"> base </w:t>
      </w:r>
      <w:r w:rsidR="00F643BA">
        <w:rPr>
          <w:rFonts w:ascii="Arial" w:hAnsi="Arial" w:cs="Arial"/>
          <w:sz w:val="24"/>
          <w:szCs w:val="24"/>
        </w:rPr>
        <w:t>o estandarizar</w:t>
      </w:r>
      <w:r>
        <w:rPr>
          <w:rFonts w:ascii="Arial" w:hAnsi="Arial" w:cs="Arial"/>
          <w:sz w:val="24"/>
          <w:szCs w:val="24"/>
        </w:rPr>
        <w:t xml:space="preserve"> las sanciones y que este estándar sea </w:t>
      </w:r>
      <w:r w:rsidR="001D4C53">
        <w:rPr>
          <w:rFonts w:ascii="Arial" w:hAnsi="Arial" w:cs="Arial"/>
          <w:sz w:val="24"/>
          <w:szCs w:val="24"/>
        </w:rPr>
        <w:t>replica</w:t>
      </w:r>
      <w:r>
        <w:rPr>
          <w:rFonts w:ascii="Arial" w:hAnsi="Arial" w:cs="Arial"/>
          <w:sz w:val="24"/>
          <w:szCs w:val="24"/>
        </w:rPr>
        <w:t>do</w:t>
      </w:r>
      <w:r w:rsidR="007245C8">
        <w:rPr>
          <w:rFonts w:ascii="Arial" w:hAnsi="Arial" w:cs="Arial"/>
          <w:sz w:val="24"/>
          <w:szCs w:val="24"/>
        </w:rPr>
        <w:t xml:space="preserve"> en las leyes estatales después</w:t>
      </w:r>
      <w:r w:rsidR="001D4C53">
        <w:rPr>
          <w:rFonts w:ascii="Arial" w:hAnsi="Arial" w:cs="Arial"/>
          <w:sz w:val="24"/>
          <w:szCs w:val="24"/>
        </w:rPr>
        <w:t xml:space="preserve"> de la </w:t>
      </w:r>
      <w:r w:rsidR="00F643BA">
        <w:rPr>
          <w:rFonts w:ascii="Arial" w:hAnsi="Arial" w:cs="Arial"/>
          <w:sz w:val="24"/>
          <w:szCs w:val="24"/>
        </w:rPr>
        <w:t>aprobación de la reforma constitucional federal.</w:t>
      </w:r>
    </w:p>
    <w:p w:rsidR="00F306DE" w:rsidRPr="005C0387" w:rsidRDefault="005C038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87">
        <w:rPr>
          <w:rFonts w:ascii="Arial" w:hAnsi="Arial" w:cs="Arial"/>
          <w:sz w:val="24"/>
          <w:szCs w:val="24"/>
        </w:rPr>
        <w:t xml:space="preserve">Definir </w:t>
      </w:r>
      <w:r w:rsidR="00F306DE" w:rsidRPr="005C0387">
        <w:rPr>
          <w:rFonts w:ascii="Arial" w:hAnsi="Arial" w:cs="Arial"/>
          <w:sz w:val="24"/>
          <w:szCs w:val="24"/>
        </w:rPr>
        <w:t>las autoridades ejecutoras de las sanciones económicas a los servidores públicos que impondrán los órganos garantes, las cuales pueden tener el carácter de créditos fiscales, para que sean este tipo de autoridades las encargadas de aplicarlas.</w:t>
      </w:r>
    </w:p>
    <w:p w:rsidR="001D4C53" w:rsidRDefault="001D4C53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Qué argumentos respaldan la propuesta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1D4C53" w:rsidRDefault="001D4C53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disparidad de </w:t>
      </w:r>
      <w:r w:rsidRPr="003A3240">
        <w:rPr>
          <w:rFonts w:ascii="Arial" w:hAnsi="Arial" w:cs="Arial"/>
          <w:sz w:val="24"/>
          <w:szCs w:val="24"/>
        </w:rPr>
        <w:t>sanciones y la</w:t>
      </w:r>
      <w:r w:rsidR="007F295C" w:rsidRPr="003A3240">
        <w:rPr>
          <w:rFonts w:ascii="Arial" w:hAnsi="Arial" w:cs="Arial"/>
          <w:sz w:val="24"/>
          <w:szCs w:val="24"/>
        </w:rPr>
        <w:t>s limitadas atribuciones coercitivas</w:t>
      </w:r>
      <w:r w:rsidRPr="003A3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órganos garantes</w:t>
      </w:r>
      <w:r w:rsidR="00F643BA">
        <w:rPr>
          <w:rFonts w:ascii="Arial" w:hAnsi="Arial" w:cs="Arial"/>
          <w:sz w:val="24"/>
          <w:szCs w:val="24"/>
        </w:rPr>
        <w:t xml:space="preserve"> para aplicar sanciones</w:t>
      </w:r>
      <w:r>
        <w:rPr>
          <w:rFonts w:ascii="Arial" w:hAnsi="Arial" w:cs="Arial"/>
          <w:sz w:val="24"/>
          <w:szCs w:val="24"/>
        </w:rPr>
        <w:t xml:space="preserve">, </w:t>
      </w:r>
      <w:r w:rsidR="005C0387">
        <w:rPr>
          <w:rFonts w:ascii="Arial" w:hAnsi="Arial" w:cs="Arial"/>
          <w:sz w:val="24"/>
          <w:szCs w:val="24"/>
        </w:rPr>
        <w:t>por eso es relevante</w:t>
      </w:r>
      <w:r w:rsidR="00F643BA">
        <w:rPr>
          <w:rFonts w:ascii="Arial" w:hAnsi="Arial" w:cs="Arial"/>
          <w:sz w:val="24"/>
          <w:szCs w:val="24"/>
        </w:rPr>
        <w:t xml:space="preserve"> que el apartado de sanciones en la ley Secundaria, quede debidamente especificado y estandarizado para que pueda ser tomado como modelo en las leyes estatales.</w:t>
      </w:r>
    </w:p>
    <w:p w:rsidR="0053337C" w:rsidRDefault="002902F9" w:rsidP="00E667E3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5C0387">
        <w:rPr>
          <w:rFonts w:ascii="Arial" w:hAnsi="Arial" w:cs="Arial"/>
          <w:sz w:val="24"/>
          <w:szCs w:val="24"/>
        </w:rPr>
        <w:t>Un aspecto fundamental que fortalece la propuesta deriva en la oportunidad de generar y/o fortalecer la confianza ciudadana, toda vez que la negativa de acceso a la información no quede impune o sea un acto sin consecuencias ante los ojos de la sociedad, que puede ver los temas de trasparencia, acceso a la información y rendición de cuentas com</w:t>
      </w:r>
      <w:r w:rsidR="00FA6D65" w:rsidRPr="005C0387">
        <w:rPr>
          <w:rFonts w:ascii="Arial" w:hAnsi="Arial" w:cs="Arial"/>
          <w:sz w:val="24"/>
          <w:szCs w:val="24"/>
        </w:rPr>
        <w:t>o una simulación de las autoridades</w:t>
      </w:r>
      <w:r w:rsidRPr="005C0387">
        <w:rPr>
          <w:rFonts w:ascii="Arial" w:hAnsi="Arial" w:cs="Arial"/>
          <w:sz w:val="24"/>
          <w:szCs w:val="24"/>
        </w:rPr>
        <w:t>,</w:t>
      </w:r>
      <w:r w:rsidR="00FA6D65" w:rsidRPr="005C0387">
        <w:rPr>
          <w:rFonts w:ascii="Arial" w:hAnsi="Arial" w:cs="Arial"/>
          <w:sz w:val="24"/>
          <w:szCs w:val="24"/>
        </w:rPr>
        <w:t xml:space="preserve"> cuando deben ser éstas las principales garantes.</w:t>
      </w:r>
      <w:r w:rsidR="00FA6D6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902F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330C7D" w:rsidRPr="005C0387" w:rsidRDefault="0053337C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87">
        <w:rPr>
          <w:rFonts w:ascii="Arial" w:hAnsi="Arial" w:cs="Arial"/>
          <w:sz w:val="24"/>
          <w:szCs w:val="24"/>
        </w:rPr>
        <w:lastRenderedPageBreak/>
        <w:t>La aplicación de sanciones</w:t>
      </w:r>
      <w:r w:rsidR="00330C7D" w:rsidRPr="005C0387">
        <w:rPr>
          <w:rFonts w:ascii="Arial" w:hAnsi="Arial" w:cs="Arial"/>
          <w:sz w:val="24"/>
          <w:szCs w:val="24"/>
        </w:rPr>
        <w:t>, económicas y administrativas,</w:t>
      </w:r>
      <w:r w:rsidRPr="005C0387">
        <w:rPr>
          <w:rFonts w:ascii="Arial" w:hAnsi="Arial" w:cs="Arial"/>
          <w:sz w:val="24"/>
          <w:szCs w:val="24"/>
        </w:rPr>
        <w:t xml:space="preserve"> puede verse como un aspecto negativo, sobre todo por los servidores públicos, no obstante en la realidad </w:t>
      </w:r>
      <w:r w:rsidR="00330C7D" w:rsidRPr="005C0387">
        <w:rPr>
          <w:rFonts w:ascii="Arial" w:hAnsi="Arial" w:cs="Arial"/>
          <w:sz w:val="24"/>
          <w:szCs w:val="24"/>
        </w:rPr>
        <w:t xml:space="preserve">vemos casos en los que la información se niega, se oculta, se declara inexistente, se reserva dolosamente y no existe consecuencia palpable de esa conducta contraria a la Ley. </w:t>
      </w:r>
    </w:p>
    <w:p w:rsidR="002902F9" w:rsidRPr="005C0387" w:rsidRDefault="00330C7D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87">
        <w:rPr>
          <w:rFonts w:ascii="Arial" w:hAnsi="Arial" w:cs="Arial"/>
          <w:sz w:val="24"/>
          <w:szCs w:val="24"/>
        </w:rPr>
        <w:t>Las sanciones de tipo administrativo, que son aplicadas por los órganos internos de control de los propios sujetos obligados, tienen un efecto limitado y en general no concluyen en ningún tipo de pena o correctivo, mucho menos inhabilitación, al servidor público que negó el acceso a la información o vulnero la protección de datos personales</w:t>
      </w:r>
    </w:p>
    <w:p w:rsidR="00F97F56" w:rsidRDefault="00F97F5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 Cuales inconvenientes u objeciones anticipa a la implementación de su propuesta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5C0387" w:rsidRDefault="00F97F5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inconvenientes podría ser la falta de voluntad política para inclu</w:t>
      </w:r>
      <w:r w:rsidR="005C0387">
        <w:rPr>
          <w:rFonts w:ascii="Arial" w:hAnsi="Arial" w:cs="Arial"/>
          <w:sz w:val="24"/>
          <w:szCs w:val="24"/>
        </w:rPr>
        <w:t xml:space="preserve">ir </w:t>
      </w:r>
      <w:proofErr w:type="spellStart"/>
      <w:proofErr w:type="gramStart"/>
      <w:r w:rsidR="005C0387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="005C038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ma de las sanciones por tem</w:t>
      </w:r>
      <w:r w:rsidR="005C0387">
        <w:rPr>
          <w:rFonts w:ascii="Arial" w:hAnsi="Arial" w:cs="Arial"/>
          <w:sz w:val="24"/>
          <w:szCs w:val="24"/>
        </w:rPr>
        <w:t>or de parte de los funcionarios.</w:t>
      </w:r>
    </w:p>
    <w:p w:rsidR="00FA6D65" w:rsidRPr="005C0387" w:rsidRDefault="005C0387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87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>r</w:t>
      </w:r>
      <w:r w:rsidR="00FA6D65" w:rsidRPr="005C0387">
        <w:rPr>
          <w:rFonts w:ascii="Arial" w:hAnsi="Arial" w:cs="Arial"/>
          <w:sz w:val="24"/>
          <w:szCs w:val="24"/>
        </w:rPr>
        <w:t>o aspecto a considerar</w:t>
      </w:r>
      <w:r w:rsidR="0053337C" w:rsidRPr="005C0387">
        <w:rPr>
          <w:rFonts w:ascii="Arial" w:hAnsi="Arial" w:cs="Arial"/>
          <w:sz w:val="24"/>
          <w:szCs w:val="24"/>
        </w:rPr>
        <w:t>, que puede acarrear objeciones,</w:t>
      </w:r>
      <w:r w:rsidR="00FA6D65" w:rsidRPr="005C0387">
        <w:rPr>
          <w:rFonts w:ascii="Arial" w:hAnsi="Arial" w:cs="Arial"/>
          <w:sz w:val="24"/>
          <w:szCs w:val="24"/>
        </w:rPr>
        <w:t xml:space="preserve"> es lo relativo a la autoridad ejecutora de las sanciones en cada Entidad Federativa y en el Ejecutivo Federal.</w:t>
      </w:r>
    </w:p>
    <w:p w:rsidR="00F97F56" w:rsidRDefault="00F97F5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Cómo podrían evitarse los inconvenientes y atenderse las objeciones identificadas</w:t>
      </w:r>
    </w:p>
    <w:p w:rsidR="00F97F56" w:rsidRPr="00F97F56" w:rsidRDefault="00F97F56" w:rsidP="00E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de cabildeo en las cámaras de diputados tanto federal como las estatales para </w:t>
      </w:r>
      <w:r w:rsidR="003A3240">
        <w:rPr>
          <w:rFonts w:ascii="Arial" w:hAnsi="Arial" w:cs="Arial"/>
          <w:sz w:val="24"/>
          <w:szCs w:val="24"/>
        </w:rPr>
        <w:t>avanzar en darle mayores facultades</w:t>
      </w:r>
      <w:r>
        <w:rPr>
          <w:rFonts w:ascii="Arial" w:hAnsi="Arial" w:cs="Arial"/>
          <w:sz w:val="24"/>
          <w:szCs w:val="24"/>
        </w:rPr>
        <w:t xml:space="preserve"> a los órganos garantes para sancionar a funcionarios que se niegan a c</w:t>
      </w:r>
      <w:r w:rsidR="005C0387">
        <w:rPr>
          <w:rFonts w:ascii="Arial" w:hAnsi="Arial" w:cs="Arial"/>
          <w:sz w:val="24"/>
          <w:szCs w:val="24"/>
        </w:rPr>
        <w:t>umplir con la ley.</w:t>
      </w:r>
    </w:p>
    <w:sectPr w:rsidR="00F97F56" w:rsidRPr="00F97F56" w:rsidSect="00C01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66"/>
    <w:rsid w:val="000C6007"/>
    <w:rsid w:val="001D4C53"/>
    <w:rsid w:val="002902F9"/>
    <w:rsid w:val="002A5380"/>
    <w:rsid w:val="00310350"/>
    <w:rsid w:val="00330C7D"/>
    <w:rsid w:val="003A3240"/>
    <w:rsid w:val="004526F9"/>
    <w:rsid w:val="00453707"/>
    <w:rsid w:val="004975DE"/>
    <w:rsid w:val="0053337C"/>
    <w:rsid w:val="005833C6"/>
    <w:rsid w:val="005C0387"/>
    <w:rsid w:val="007245C8"/>
    <w:rsid w:val="007F295C"/>
    <w:rsid w:val="00844189"/>
    <w:rsid w:val="00911447"/>
    <w:rsid w:val="00A51CDA"/>
    <w:rsid w:val="00A67146"/>
    <w:rsid w:val="00AA22AB"/>
    <w:rsid w:val="00BA1919"/>
    <w:rsid w:val="00BC77D2"/>
    <w:rsid w:val="00C013C0"/>
    <w:rsid w:val="00C630C2"/>
    <w:rsid w:val="00E12866"/>
    <w:rsid w:val="00E667E3"/>
    <w:rsid w:val="00E84507"/>
    <w:rsid w:val="00F306DE"/>
    <w:rsid w:val="00F643BA"/>
    <w:rsid w:val="00F77331"/>
    <w:rsid w:val="00F97EF1"/>
    <w:rsid w:val="00F97F56"/>
    <w:rsid w:val="00FA2AC7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5DE"/>
    <w:pPr>
      <w:ind w:left="720"/>
      <w:contextualSpacing/>
    </w:pPr>
  </w:style>
  <w:style w:type="paragraph" w:styleId="Sinespaciado">
    <w:name w:val="No Spacing"/>
    <w:uiPriority w:val="1"/>
    <w:qFormat/>
    <w:rsid w:val="004975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5DE"/>
    <w:pPr>
      <w:ind w:left="720"/>
      <w:contextualSpacing/>
    </w:pPr>
  </w:style>
  <w:style w:type="paragraph" w:styleId="Sinespaciado">
    <w:name w:val="No Spacing"/>
    <w:uiPriority w:val="1"/>
    <w:qFormat/>
    <w:rsid w:val="004975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9129-D177-4FE1-8C4B-C2E55E8C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Toshiba</cp:lastModifiedBy>
  <cp:revision>2</cp:revision>
  <dcterms:created xsi:type="dcterms:W3CDTF">2013-04-29T21:22:00Z</dcterms:created>
  <dcterms:modified xsi:type="dcterms:W3CDTF">2013-04-29T21:22:00Z</dcterms:modified>
</cp:coreProperties>
</file>