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FA" w:rsidRPr="00DE36FA" w:rsidRDefault="00DE36FA" w:rsidP="00DE36FA">
      <w:pPr>
        <w:jc w:val="both"/>
        <w:rPr>
          <w:rFonts w:ascii="Century Gothic" w:hAnsi="Century Gothic" w:cs="Arial"/>
          <w:b/>
          <w:sz w:val="24"/>
          <w:szCs w:val="24"/>
        </w:rPr>
      </w:pPr>
      <w:r w:rsidRPr="00DE36FA">
        <w:rPr>
          <w:rFonts w:ascii="Century Gothic" w:hAnsi="Century Gothic" w:cs="Arial"/>
          <w:b/>
          <w:sz w:val="24"/>
          <w:szCs w:val="24"/>
        </w:rPr>
        <w:t>CÉSAR OMAR AVILES GONZALEZ</w:t>
      </w:r>
    </w:p>
    <w:p w:rsidR="00DE36FA" w:rsidRPr="00DE36FA" w:rsidRDefault="00DE36FA" w:rsidP="00DE36FA">
      <w:pPr>
        <w:jc w:val="both"/>
        <w:rPr>
          <w:rFonts w:ascii="Century Gothic" w:hAnsi="Century Gothic" w:cs="Arial"/>
          <w:b/>
          <w:sz w:val="24"/>
          <w:szCs w:val="24"/>
        </w:rPr>
      </w:pPr>
      <w:r w:rsidRPr="00DE36FA">
        <w:rPr>
          <w:rFonts w:ascii="Century Gothic" w:hAnsi="Century Gothic" w:cs="Arial"/>
          <w:b/>
          <w:sz w:val="24"/>
          <w:szCs w:val="24"/>
        </w:rPr>
        <w:t>CONSEJERO REPRESENTANTE DE LA UNIVERSIDAD DE GUADALAJAJA</w:t>
      </w:r>
    </w:p>
    <w:p w:rsidR="00DE36FA" w:rsidRPr="00DE36FA" w:rsidRDefault="00DE36FA" w:rsidP="00DE36FA">
      <w:pPr>
        <w:jc w:val="both"/>
        <w:rPr>
          <w:rFonts w:ascii="Century Gothic" w:hAnsi="Century Gothic" w:cs="Arial"/>
          <w:sz w:val="24"/>
          <w:szCs w:val="24"/>
        </w:rPr>
      </w:pPr>
    </w:p>
    <w:p w:rsidR="007A22F2" w:rsidRPr="00DE36FA" w:rsidRDefault="00DE36FA" w:rsidP="00DE36FA">
      <w:pPr>
        <w:jc w:val="both"/>
        <w:rPr>
          <w:rFonts w:ascii="Century Gothic" w:hAnsi="Century Gothic" w:cs="Arial"/>
          <w:sz w:val="24"/>
          <w:szCs w:val="24"/>
        </w:rPr>
      </w:pPr>
      <w:r w:rsidRPr="00DE36FA">
        <w:rPr>
          <w:rFonts w:ascii="Century Gothic" w:hAnsi="Century Gothic" w:cs="Arial"/>
          <w:sz w:val="24"/>
          <w:szCs w:val="24"/>
        </w:rPr>
        <w:t>Es abogado y Maestro en Derecho por la Universidad de Guadalajara. Se ha desempeñado como asesor jurídico del Comité Internacional de la Cruz Roja en la delegación regional de México, Centroamérica y Cuba, así como Coordinador de Transparencia y Archivo General de la Universidad de Guadalajara. Actualmente dirige el Centro de Estudios Estratégicos para el Desarrollo de dicha Casa de Estudio.</w:t>
      </w:r>
      <w:bookmarkStart w:id="0" w:name="_GoBack"/>
      <w:bookmarkEnd w:id="0"/>
    </w:p>
    <w:sectPr w:rsidR="007A22F2" w:rsidRPr="00DE36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FA"/>
    <w:rsid w:val="007A22F2"/>
    <w:rsid w:val="00DE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Carolina Olivares Alvarez</dc:creator>
  <cp:lastModifiedBy>Claudia Carolina Olivares Alvarez</cp:lastModifiedBy>
  <cp:revision>1</cp:revision>
  <dcterms:created xsi:type="dcterms:W3CDTF">2018-05-31T15:19:00Z</dcterms:created>
  <dcterms:modified xsi:type="dcterms:W3CDTF">2018-05-31T15:20:00Z</dcterms:modified>
</cp:coreProperties>
</file>